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before="0" w:line="276" w:lineRule="auto"/>
        <w:ind w:left="0" w:right="144" w:hanging="75"/>
        <w:contextualSpacing w:val="0"/>
        <w:jc w:val="center"/>
        <w:rPr>
          <w:rFonts w:ascii="Arial" w:cs="Arial" w:eastAsia="Arial" w:hAnsi="Arial"/>
          <w:color w:val="00000a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a"/>
          <w:vertAlign w:val="baseline"/>
          <w:rtl w:val="0"/>
        </w:rPr>
        <w:t xml:space="preserve">ANEXO III - 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tabs>
          <w:tab w:val="left" w:pos="709"/>
        </w:tabs>
        <w:spacing w:line="240" w:lineRule="auto"/>
        <w:contextualSpacing w:val="0"/>
        <w:jc w:val="center"/>
        <w:rPr>
          <w:rFonts w:ascii="Arial" w:cs="Arial" w:eastAsia="Arial" w:hAnsi="Arial"/>
          <w:b w:val="0"/>
          <w:i w:val="0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Ficha de Avaliação do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vertAlign w:val="baseline"/>
          <w:rtl w:val="0"/>
        </w:rPr>
        <w:t xml:space="preserve">Currículo </w:t>
        <w:br w:type="textWrapping"/>
        <w:t xml:space="preserve">Processo Seletivo Simplificado - Edital n°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vertAlign w:val="baseline"/>
          <w:rtl w:val="0"/>
        </w:rPr>
        <w:t xml:space="preserve">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709"/>
        </w:tabs>
        <w:spacing w:after="0" w:line="276" w:lineRule="auto"/>
        <w:contextualSpacing w:val="0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Candidato:_______________________________________________________________________</w:t>
      </w:r>
    </w:p>
    <w:p w:rsidR="00000000" w:rsidDel="00000000" w:rsidP="00000000" w:rsidRDefault="00000000" w:rsidRPr="00000000" w14:paraId="00000003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Área:___________________________________________________________________________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A avaliação do Currículo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será realizada de acordo com os índices de pontuação apresentados abaixo:</w:t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"/>
        <w:gridCol w:w="4905"/>
        <w:gridCol w:w="105"/>
        <w:gridCol w:w="2250"/>
        <w:gridCol w:w="1245"/>
        <w:gridCol w:w="1350"/>
        <w:tblGridChange w:id="0">
          <w:tblGrid>
            <w:gridCol w:w="615"/>
            <w:gridCol w:w="4905"/>
            <w:gridCol w:w="105"/>
            <w:gridCol w:w="2250"/>
            <w:gridCol w:w="1245"/>
            <w:gridCol w:w="1350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Pontuação 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TITULAÇÃO ACADÊMICA NA ÁREA E ÁREAS AFINS DE CONHECIMENTO DO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Curso técnico profissional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9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12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8"/>
                <w:szCs w:val="18"/>
                <w:vertAlign w:val="baseline"/>
                <w:rtl w:val="0"/>
              </w:rPr>
              <w:t xml:space="preserve">EXPERIÊNCIA DOCENTE NA ÁREA E ÁREAS AFINS DE CONHECIMENTO DO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Experiência como professor em ensino médio em instituições de ensino reconhecidas pelo MEC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bloco de 288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Experiência como professor em ensino técnico em instituições de ensino reconhecidas pelo MEC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bloco de 288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Experiência como professor em ensino superior em instituições de ensino reconhecidas pelo MEC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bloco de 288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Experiência como professor em atividade de ensino não regular (cursos, palestras ou conferências)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evento de 40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Orientação concluída na área (estágio, trabalho de conclusão de curso, iniciação científica, monografia, dissertação e tese).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orientação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TRABALHOS TÉCNICOS E CIENTÍFICOS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8"/>
                <w:szCs w:val="18"/>
                <w:vertAlign w:val="baseline"/>
                <w:rtl w:val="0"/>
              </w:rPr>
              <w:t xml:space="preserve">NA ÁREA E ÁREAS AFINS DE CONHECIMENTO DO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Resumos publicados em anais ou congressos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0,5 ponto por resumo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Artigos completos publicados em anais de eventos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 ponto por resumo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Artigos de natureza técnica ou cientifica publicado em revistas indexadas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 pontos por trabalho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highlight w:val="cya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Autoria de capítulo de livro ou livro publicado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highlight w:val="cya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 pontos por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highlight w:val="cya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8"/>
                <w:szCs w:val="18"/>
                <w:vertAlign w:val="baseline"/>
                <w:rtl w:val="0"/>
              </w:rPr>
              <w:t xml:space="preserve">EXPERIÊNCIA TÉCNICA PROFISSIONAL NA ÁREA E ÁREAS AFINS DE CONHECIMENTO DO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Experiência profissional não docente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5 pontos por semestre completo, excluída fração de meses e dias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(comprovação mediante carteira de trabalho ou contrato de prestação de serviços)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after="0" w:lineRule="auto"/>
        <w:contextualSpacing w:val="0"/>
        <w:jc w:val="left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709" w:top="1418" w:left="1418" w:right="113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Instituto Federal de Educação, Ciência e Tecnologia do Rio Grande do Sul -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8C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Anexo III - EDITAL Nº 28/2018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after="60" w:line="240" w:lineRule="auto"/>
      <w:contextualSpacing w:val="0"/>
      <w:jc w:val="center"/>
      <w:rPr>
        <w:rFonts w:ascii="Times New Roman" w:cs="Times New Roman" w:eastAsia="Times New Roman" w:hAnsi="Times New Roman"/>
        <w:color w:val="1f1a17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f1a17"/>
        <w:sz w:val="20"/>
        <w:szCs w:val="20"/>
      </w:rPr>
      <w:drawing>
        <wp:inline distB="0" distT="0" distL="114300" distR="114300">
          <wp:extent cx="575945" cy="5873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58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84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5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6">
    <w:pPr>
      <w:spacing w:after="0" w:line="264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87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do Diretor-Geral</w:t>
    </w:r>
  </w:p>
  <w:p w:rsidR="00000000" w:rsidDel="00000000" w:rsidP="00000000" w:rsidRDefault="00000000" w:rsidRPr="00000000" w14:paraId="00000089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etcom.ufrg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