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15143" w:rsidRDefault="00715143">
      <w:pPr>
        <w:pStyle w:val="normal0"/>
        <w:spacing w:line="360" w:lineRule="auto"/>
        <w:jc w:val="center"/>
        <w:rPr>
          <w:b/>
          <w:bCs/>
          <w:sz w:val="24"/>
          <w:szCs w:val="24"/>
        </w:rPr>
      </w:pPr>
    </w:p>
    <w:p w:rsidR="00715143" w:rsidRDefault="00715143" w:rsidP="009E6225">
      <w:pPr>
        <w:pStyle w:val="normal0"/>
        <w:spacing w:line="240" w:lineRule="auto"/>
        <w:jc w:val="center"/>
      </w:pPr>
      <w:r>
        <w:rPr>
          <w:b/>
          <w:bCs/>
          <w:sz w:val="24"/>
          <w:szCs w:val="24"/>
        </w:rPr>
        <w:t>EDITAL Nº 079, DE 23 DE DEZEMBRO DE 2016</w:t>
      </w:r>
    </w:p>
    <w:p w:rsidR="00715143" w:rsidRDefault="00715143" w:rsidP="009E6225">
      <w:pPr>
        <w:pStyle w:val="normal0"/>
        <w:spacing w:line="240" w:lineRule="auto"/>
        <w:jc w:val="center"/>
        <w:rPr>
          <w:b/>
          <w:bCs/>
          <w:sz w:val="24"/>
          <w:szCs w:val="24"/>
        </w:rPr>
      </w:pPr>
    </w:p>
    <w:p w:rsidR="00715143" w:rsidRDefault="00715143" w:rsidP="009E6225">
      <w:pPr>
        <w:pStyle w:val="normal0"/>
        <w:spacing w:line="240" w:lineRule="auto"/>
        <w:jc w:val="center"/>
      </w:pPr>
      <w:r>
        <w:rPr>
          <w:b/>
          <w:bCs/>
          <w:sz w:val="24"/>
          <w:szCs w:val="24"/>
        </w:rPr>
        <w:t>PROGRAMA DE AUXÍLIOS DA ASSISTÊNCIA ESTUDANTIL 2017/1</w:t>
      </w:r>
    </w:p>
    <w:p w:rsidR="00715143" w:rsidRDefault="00715143">
      <w:pPr>
        <w:pStyle w:val="normal0"/>
        <w:spacing w:line="360" w:lineRule="auto"/>
        <w:jc w:val="both"/>
      </w:pPr>
      <w:r>
        <w:rPr>
          <w:sz w:val="24"/>
          <w:szCs w:val="24"/>
        </w:rPr>
        <w:t xml:space="preserve"> </w:t>
      </w:r>
    </w:p>
    <w:p w:rsidR="00715143" w:rsidRDefault="00715143">
      <w:pPr>
        <w:pStyle w:val="normal0"/>
        <w:spacing w:line="360" w:lineRule="auto"/>
        <w:ind w:firstLine="700"/>
        <w:jc w:val="both"/>
      </w:pPr>
      <w:r>
        <w:rPr>
          <w:sz w:val="24"/>
          <w:szCs w:val="24"/>
        </w:rPr>
        <w:t>O Diretor-Geral do Instituto Federal de Educação, Ciência e Tecnologia do Rio Grande do Sul (IFRS) - Campus Porto Alegre, no uso das atribuições legais que lhe são conferidas pela Portaria nº 316, de 23 de fevereiro de 2016, publicada no DOU em 24 de fevereiro de 2016, através do Núcleo de Acompanhamento Acadêmico (NAAc), TORNA PÚBLICA a abertura das inscrições para o cadastro</w:t>
      </w:r>
      <w:r>
        <w:rPr>
          <w:b/>
          <w:bCs/>
          <w:sz w:val="24"/>
          <w:szCs w:val="24"/>
        </w:rPr>
        <w:t xml:space="preserve"> </w:t>
      </w:r>
      <w:r>
        <w:rPr>
          <w:sz w:val="24"/>
          <w:szCs w:val="24"/>
        </w:rPr>
        <w:t xml:space="preserve">de estudantes a serem contemplados com os auxílios da Assistência Estudantil. </w:t>
      </w:r>
    </w:p>
    <w:p w:rsidR="00715143" w:rsidRDefault="00715143">
      <w:pPr>
        <w:pStyle w:val="normal0"/>
        <w:spacing w:line="360" w:lineRule="auto"/>
        <w:ind w:firstLine="700"/>
        <w:jc w:val="both"/>
      </w:pPr>
      <w:r>
        <w:rPr>
          <w:sz w:val="24"/>
          <w:szCs w:val="24"/>
        </w:rPr>
        <w:t>A responsabilidade pelo processo de inscrição, seleção e acompanhamento dos estudantes estará a cargo do Núcleo de Acompanhamento Acadêmico (NAAc) do Campus Porto Alegre.</w:t>
      </w:r>
    </w:p>
    <w:p w:rsidR="00715143" w:rsidRDefault="00715143">
      <w:pPr>
        <w:pStyle w:val="normal0"/>
        <w:spacing w:line="360" w:lineRule="auto"/>
        <w:jc w:val="both"/>
      </w:pPr>
      <w:r>
        <w:t xml:space="preserve"> </w:t>
      </w:r>
    </w:p>
    <w:p w:rsidR="00715143" w:rsidRDefault="00715143">
      <w:pPr>
        <w:pStyle w:val="normal0"/>
        <w:spacing w:line="360" w:lineRule="auto"/>
        <w:jc w:val="both"/>
      </w:pPr>
      <w:r>
        <w:rPr>
          <w:b/>
          <w:bCs/>
          <w:sz w:val="24"/>
          <w:szCs w:val="24"/>
        </w:rPr>
        <w:t>1.                 DA FINALIDADE</w:t>
      </w:r>
    </w:p>
    <w:p w:rsidR="00715143" w:rsidRDefault="00715143">
      <w:pPr>
        <w:pStyle w:val="normal0"/>
        <w:spacing w:line="360" w:lineRule="auto"/>
        <w:jc w:val="both"/>
      </w:pPr>
      <w:r>
        <w:rPr>
          <w:sz w:val="24"/>
          <w:szCs w:val="24"/>
        </w:rPr>
        <w:t>1.1 Subsidiar os estudantes em despesas relacionadas às questões estudantis de modo a fortalecer suas condições de frequência, aproveitamento e permanência nas atividades acadêmicas.</w:t>
      </w:r>
    </w:p>
    <w:p w:rsidR="00715143" w:rsidRDefault="00715143">
      <w:pPr>
        <w:pStyle w:val="normal0"/>
        <w:spacing w:line="360" w:lineRule="auto"/>
        <w:jc w:val="both"/>
      </w:pPr>
      <w:r>
        <w:rPr>
          <w:sz w:val="24"/>
          <w:szCs w:val="24"/>
        </w:rPr>
        <w:t xml:space="preserve"> </w:t>
      </w:r>
    </w:p>
    <w:p w:rsidR="00715143" w:rsidRDefault="00715143">
      <w:pPr>
        <w:pStyle w:val="normal0"/>
        <w:spacing w:line="360" w:lineRule="auto"/>
        <w:jc w:val="both"/>
      </w:pPr>
      <w:r>
        <w:rPr>
          <w:b/>
          <w:bCs/>
          <w:sz w:val="24"/>
          <w:szCs w:val="24"/>
        </w:rPr>
        <w:t>2.                 DOS ESTUDANTES PARTICIPANTES E DA DURAÇÃO</w:t>
      </w:r>
    </w:p>
    <w:p w:rsidR="00715143" w:rsidRDefault="00715143">
      <w:pPr>
        <w:pStyle w:val="normal0"/>
        <w:spacing w:line="360" w:lineRule="auto"/>
        <w:jc w:val="both"/>
      </w:pPr>
      <w:r>
        <w:rPr>
          <w:sz w:val="24"/>
          <w:szCs w:val="24"/>
        </w:rPr>
        <w:t>2.1 O presente Edital destina-se a atender os estudantes do Campus Porto Alegre do IFRS, matriculados nos cursos regulares e presenciais, técnicos e superiores, que estejam dentro das condições estabelecidas pelo Decreto 7.234, de 19 de julho de 2010, que dispõe sobre o Programa Nacional de Assistência Estudantil – PNAES;</w:t>
      </w:r>
    </w:p>
    <w:p w:rsidR="00715143" w:rsidRDefault="00715143">
      <w:pPr>
        <w:pStyle w:val="normal0"/>
        <w:spacing w:line="360" w:lineRule="auto"/>
        <w:jc w:val="both"/>
      </w:pPr>
      <w:r>
        <w:rPr>
          <w:sz w:val="24"/>
          <w:szCs w:val="24"/>
        </w:rPr>
        <w:t>2.2 Este Edital garantirá prioridade quanto à concessão dos auxílios estudantis aos estudantes indígenas e quilombolas dos cursos técnicos e aos estudantes em situação de acampamento, situação de rua e membros de comunidades nômades de todas as modalidades de ensino;</w:t>
      </w:r>
    </w:p>
    <w:p w:rsidR="00715143" w:rsidRDefault="00715143">
      <w:pPr>
        <w:pStyle w:val="normal0"/>
        <w:spacing w:line="360" w:lineRule="auto"/>
        <w:jc w:val="both"/>
      </w:pPr>
      <w:r>
        <w:rPr>
          <w:sz w:val="24"/>
          <w:szCs w:val="24"/>
        </w:rPr>
        <w:t xml:space="preserve">2.3 Os auxílios concedidos por este Edital são válidos para o período letivo de 2017/1, podendo ser renovados.  </w:t>
      </w:r>
    </w:p>
    <w:p w:rsidR="00715143" w:rsidRDefault="00715143">
      <w:pPr>
        <w:pStyle w:val="normal0"/>
        <w:spacing w:line="360" w:lineRule="auto"/>
        <w:jc w:val="both"/>
      </w:pPr>
    </w:p>
    <w:p w:rsidR="00715143" w:rsidRDefault="00715143">
      <w:pPr>
        <w:pStyle w:val="normal0"/>
        <w:spacing w:line="360" w:lineRule="auto"/>
        <w:jc w:val="both"/>
      </w:pPr>
      <w:r>
        <w:rPr>
          <w:b/>
          <w:bCs/>
          <w:sz w:val="24"/>
          <w:szCs w:val="24"/>
        </w:rPr>
        <w:t>3.   DAS INSCRIÇÕES</w:t>
      </w:r>
    </w:p>
    <w:p w:rsidR="00715143" w:rsidRDefault="00715143">
      <w:pPr>
        <w:pStyle w:val="normal0"/>
        <w:spacing w:line="360" w:lineRule="auto"/>
        <w:jc w:val="both"/>
      </w:pPr>
      <w:r>
        <w:rPr>
          <w:sz w:val="24"/>
          <w:szCs w:val="24"/>
        </w:rPr>
        <w:t>3.1 O estudante que desejar acessar os auxílios do Programa de Assistência Estudantil do Campus Porto Alegre deverá preencher o Formulário Socioeconômico eletrônico e entregar a documentação comprobatória.</w:t>
      </w:r>
    </w:p>
    <w:p w:rsidR="00715143" w:rsidRDefault="00715143">
      <w:pPr>
        <w:pStyle w:val="normal0"/>
        <w:spacing w:line="360" w:lineRule="auto"/>
        <w:jc w:val="both"/>
      </w:pPr>
      <w:r>
        <w:rPr>
          <w:sz w:val="24"/>
          <w:szCs w:val="24"/>
        </w:rPr>
        <w:t xml:space="preserve">Parágrafo Único. Este Edital garantirá atenção diferenciada em relação à documentação exigida aos estudantes indígenas e quilombolas dos cursos técnicos, e aos estudantes em situação de acampamento, situação de rua e membros de comunidades nômades de todas as modalidades de ensino, a partir de análise socioeconômica específica. </w:t>
      </w:r>
    </w:p>
    <w:p w:rsidR="00715143" w:rsidRDefault="00715143">
      <w:pPr>
        <w:pStyle w:val="normal0"/>
        <w:spacing w:line="360" w:lineRule="auto"/>
        <w:jc w:val="both"/>
      </w:pPr>
      <w:r>
        <w:rPr>
          <w:sz w:val="24"/>
          <w:szCs w:val="24"/>
        </w:rPr>
        <w:t>3.2 Da metodologia do preenchimento do Formulário Socioeconômico e da entrega da documentação comprobatória:</w:t>
      </w:r>
    </w:p>
    <w:p w:rsidR="00715143" w:rsidRDefault="00715143">
      <w:pPr>
        <w:pStyle w:val="normal0"/>
        <w:spacing w:line="360" w:lineRule="auto"/>
        <w:jc w:val="both"/>
      </w:pPr>
      <w:r>
        <w:rPr>
          <w:sz w:val="24"/>
          <w:szCs w:val="24"/>
        </w:rPr>
        <w:t xml:space="preserve"> </w:t>
      </w:r>
      <w:r>
        <w:rPr>
          <w:b/>
          <w:bCs/>
          <w:sz w:val="24"/>
          <w:szCs w:val="24"/>
        </w:rPr>
        <w:t xml:space="preserve">Passo 1: </w:t>
      </w:r>
      <w:r>
        <w:rPr>
          <w:sz w:val="24"/>
          <w:szCs w:val="24"/>
        </w:rPr>
        <w:t xml:space="preserve">Ler com atenção este </w:t>
      </w:r>
      <w:r>
        <w:rPr>
          <w:b/>
          <w:bCs/>
          <w:sz w:val="24"/>
          <w:szCs w:val="24"/>
        </w:rPr>
        <w:t>Edital</w:t>
      </w:r>
    </w:p>
    <w:p w:rsidR="00715143" w:rsidRDefault="00715143">
      <w:pPr>
        <w:pStyle w:val="normal0"/>
        <w:spacing w:line="360" w:lineRule="auto"/>
        <w:jc w:val="both"/>
      </w:pPr>
      <w:r>
        <w:rPr>
          <w:b/>
          <w:bCs/>
          <w:sz w:val="24"/>
          <w:szCs w:val="24"/>
        </w:rPr>
        <w:t>Passo 2:</w:t>
      </w:r>
      <w:r>
        <w:rPr>
          <w:sz w:val="24"/>
          <w:szCs w:val="24"/>
        </w:rPr>
        <w:t xml:space="preserve"> preencher o Formulário Socioeconômico Eletrônico, disponível no site www.poa.ifrs.edu.br</w:t>
      </w:r>
    </w:p>
    <w:p w:rsidR="00715143" w:rsidRDefault="00715143">
      <w:pPr>
        <w:pStyle w:val="normal0"/>
        <w:spacing w:line="360" w:lineRule="auto"/>
        <w:jc w:val="both"/>
      </w:pPr>
      <w:r>
        <w:rPr>
          <w:sz w:val="24"/>
          <w:szCs w:val="24"/>
        </w:rPr>
        <w:t>O Formulário Socioeconômico permite que as informações sejam preenchidas parcialmente, e em momentos distintos, salvando automaticamente os dados, conforme vão sendo informados. Ao dar por concluído o preenchimento de todas as informações solicitadas, o estudante deve utilizar a opção “Finalizar”. Depois de finalizado não será permitida qualquer alteração nos dados informados, assim como será vedada a realização de um novo preenchimento do Formulário Socioeconômico. O sistema informará a listagem de documentação específica por estudante, que deverá ser entregue no setor de Protocolo do campus Porto Alegre. Após o prazo de preenchimento do formulário, o estudante terá acesso somente à lista de documentação a ser entregue.</w:t>
      </w:r>
    </w:p>
    <w:p w:rsidR="00715143" w:rsidRDefault="00715143">
      <w:pPr>
        <w:pStyle w:val="normal0"/>
        <w:spacing w:line="360" w:lineRule="auto"/>
        <w:jc w:val="both"/>
      </w:pPr>
      <w:r>
        <w:rPr>
          <w:b/>
          <w:bCs/>
          <w:sz w:val="24"/>
          <w:szCs w:val="24"/>
        </w:rPr>
        <w:t>Passo 3:</w:t>
      </w:r>
      <w:r>
        <w:rPr>
          <w:sz w:val="24"/>
          <w:szCs w:val="24"/>
        </w:rPr>
        <w:t xml:space="preserve"> entregar a documentação comprobatória no Protocolo do Campus Porto Alegre (5º andar - Torre Norte).</w:t>
      </w:r>
    </w:p>
    <w:p w:rsidR="00715143" w:rsidRDefault="00715143">
      <w:pPr>
        <w:pStyle w:val="normal0"/>
        <w:spacing w:line="360" w:lineRule="auto"/>
        <w:jc w:val="both"/>
      </w:pPr>
      <w:r>
        <w:rPr>
          <w:sz w:val="24"/>
          <w:szCs w:val="24"/>
        </w:rPr>
        <w:t>3.3 Os estudantes que não possuírem acesso à computador/internet poderão acessar os computadores disponíveis no Núcleo de Acompanhamento Acadêmico de acordo com o horário vigente de funcionamento do setor.</w:t>
      </w:r>
    </w:p>
    <w:p w:rsidR="00715143" w:rsidRDefault="00715143">
      <w:pPr>
        <w:pStyle w:val="normal0"/>
        <w:spacing w:line="360" w:lineRule="auto"/>
        <w:jc w:val="both"/>
      </w:pPr>
      <w:r>
        <w:rPr>
          <w:sz w:val="24"/>
          <w:szCs w:val="24"/>
        </w:rPr>
        <w:t>3.4</w:t>
      </w:r>
      <w:r>
        <w:rPr>
          <w:b/>
          <w:bCs/>
          <w:sz w:val="24"/>
          <w:szCs w:val="24"/>
        </w:rPr>
        <w:t xml:space="preserve"> </w:t>
      </w:r>
      <w:r>
        <w:rPr>
          <w:sz w:val="24"/>
          <w:szCs w:val="24"/>
        </w:rPr>
        <w:t xml:space="preserve">Serão </w:t>
      </w:r>
      <w:r>
        <w:rPr>
          <w:b/>
          <w:bCs/>
          <w:sz w:val="24"/>
          <w:szCs w:val="24"/>
        </w:rPr>
        <w:t>INDEFERIDAS</w:t>
      </w:r>
      <w:r>
        <w:rPr>
          <w:sz w:val="24"/>
          <w:szCs w:val="24"/>
        </w:rPr>
        <w:t xml:space="preserve"> as inscrições em que o estudante não finalizar a inscrição eletrônica e/ou não entregar a documentação comprobatória completa, de acordo com o item 3.2.</w:t>
      </w:r>
    </w:p>
    <w:p w:rsidR="00715143" w:rsidRDefault="00715143">
      <w:pPr>
        <w:pStyle w:val="normal0"/>
        <w:spacing w:line="360" w:lineRule="auto"/>
        <w:jc w:val="both"/>
      </w:pPr>
      <w:r>
        <w:rPr>
          <w:sz w:val="24"/>
          <w:szCs w:val="24"/>
        </w:rPr>
        <w:t>3.5 Caso haja inconsistência nas informações prestadas, o estudante poderá ser convocado pela equipe técnica do NAAc para prestar esclarecimentos;</w:t>
      </w:r>
    </w:p>
    <w:p w:rsidR="00715143" w:rsidRDefault="00715143">
      <w:pPr>
        <w:pStyle w:val="normal0"/>
        <w:spacing w:line="360" w:lineRule="auto"/>
        <w:jc w:val="both"/>
      </w:pPr>
      <w:r>
        <w:rPr>
          <w:sz w:val="24"/>
          <w:szCs w:val="24"/>
        </w:rPr>
        <w:t>3.6 A inscrição não implicará necessariamente no recebimento do auxílio. O repasse do auxílio ao estudante está condicionado à classificação do estudante em um dos grupos de vulnerabilidade, após análise socioeconômica e a disponibilidade orçamentária</w:t>
      </w:r>
    </w:p>
    <w:p w:rsidR="00715143" w:rsidRDefault="00715143">
      <w:pPr>
        <w:pStyle w:val="normal0"/>
        <w:spacing w:line="360" w:lineRule="auto"/>
        <w:jc w:val="both"/>
      </w:pPr>
      <w:r>
        <w:rPr>
          <w:sz w:val="24"/>
          <w:szCs w:val="24"/>
        </w:rPr>
        <w:t>3.7</w:t>
      </w:r>
      <w:r>
        <w:rPr>
          <w:b/>
          <w:bCs/>
          <w:sz w:val="24"/>
          <w:szCs w:val="24"/>
        </w:rPr>
        <w:t xml:space="preserve"> </w:t>
      </w:r>
      <w:r>
        <w:rPr>
          <w:sz w:val="24"/>
          <w:szCs w:val="24"/>
        </w:rPr>
        <w:t xml:space="preserve">O estudante receberá no ato de entrega da documentação comprobatória no Setor de Protocolo do Campus um </w:t>
      </w:r>
      <w:r>
        <w:rPr>
          <w:b/>
          <w:bCs/>
          <w:sz w:val="24"/>
          <w:szCs w:val="24"/>
        </w:rPr>
        <w:t>protocolo de inscrição</w:t>
      </w:r>
      <w:r>
        <w:rPr>
          <w:sz w:val="24"/>
          <w:szCs w:val="24"/>
        </w:rPr>
        <w:t>. Esse protocolo é o comprovante da inscrição.</w:t>
      </w:r>
    </w:p>
    <w:p w:rsidR="00715143" w:rsidRDefault="00715143">
      <w:pPr>
        <w:pStyle w:val="normal0"/>
        <w:spacing w:line="360" w:lineRule="auto"/>
        <w:jc w:val="both"/>
      </w:pPr>
      <w:r>
        <w:rPr>
          <w:sz w:val="24"/>
          <w:szCs w:val="24"/>
        </w:rPr>
        <w:t xml:space="preserve"> </w:t>
      </w:r>
    </w:p>
    <w:p w:rsidR="00715143" w:rsidRDefault="00715143">
      <w:pPr>
        <w:pStyle w:val="normal0"/>
        <w:spacing w:line="360" w:lineRule="auto"/>
        <w:jc w:val="both"/>
      </w:pPr>
      <w:r>
        <w:rPr>
          <w:b/>
          <w:bCs/>
          <w:sz w:val="24"/>
          <w:szCs w:val="24"/>
        </w:rPr>
        <w:t>4. DOS AUXÍLIOS</w:t>
      </w:r>
    </w:p>
    <w:p w:rsidR="00715143" w:rsidRDefault="00715143">
      <w:pPr>
        <w:pStyle w:val="normal0"/>
        <w:spacing w:line="360" w:lineRule="auto"/>
        <w:jc w:val="both"/>
      </w:pPr>
      <w:r>
        <w:rPr>
          <w:sz w:val="24"/>
          <w:szCs w:val="24"/>
        </w:rPr>
        <w:t xml:space="preserve">4.1 </w:t>
      </w:r>
      <w:r>
        <w:rPr>
          <w:b/>
          <w:bCs/>
          <w:sz w:val="24"/>
          <w:szCs w:val="24"/>
        </w:rPr>
        <w:t>Auxílio Permanência</w:t>
      </w:r>
      <w:r>
        <w:rPr>
          <w:sz w:val="24"/>
          <w:szCs w:val="24"/>
        </w:rPr>
        <w:t xml:space="preserve">: auxílio financeiro mensal com valores diferenciados em cada grupo, conforme análise socioeconômica. </w:t>
      </w:r>
    </w:p>
    <w:p w:rsidR="00715143" w:rsidRDefault="00715143">
      <w:pPr>
        <w:pStyle w:val="normal0"/>
        <w:spacing w:line="360" w:lineRule="auto"/>
        <w:jc w:val="both"/>
      </w:pPr>
      <w:r>
        <w:rPr>
          <w:sz w:val="24"/>
          <w:szCs w:val="24"/>
        </w:rPr>
        <w:t xml:space="preserve"> </w:t>
      </w:r>
    </w:p>
    <w:tbl>
      <w:tblPr>
        <w:tblW w:w="450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500"/>
      </w:tblGrid>
      <w:tr w:rsidR="00715143">
        <w:tc>
          <w:tcPr>
            <w:tcW w:w="4500" w:type="dxa"/>
            <w:tcBorders>
              <w:top w:val="single" w:sz="8" w:space="0" w:color="92CDDC"/>
              <w:left w:val="single" w:sz="8" w:space="0" w:color="92CDDC"/>
              <w:bottom w:val="single" w:sz="12" w:space="0" w:color="92CDDC"/>
              <w:right w:val="single" w:sz="8" w:space="0" w:color="92CDDC"/>
            </w:tcBorders>
            <w:tcMar>
              <w:top w:w="100" w:type="dxa"/>
              <w:left w:w="100" w:type="dxa"/>
              <w:bottom w:w="100" w:type="dxa"/>
              <w:right w:w="100" w:type="dxa"/>
            </w:tcMar>
          </w:tcPr>
          <w:p w:rsidR="00715143" w:rsidRDefault="00715143" w:rsidP="000F41B6">
            <w:pPr>
              <w:pStyle w:val="normal0"/>
              <w:spacing w:line="360" w:lineRule="auto"/>
              <w:ind w:left="100"/>
              <w:jc w:val="center"/>
            </w:pPr>
            <w:r w:rsidRPr="000F41B6">
              <w:rPr>
                <w:b/>
                <w:bCs/>
                <w:sz w:val="24"/>
                <w:szCs w:val="24"/>
              </w:rPr>
              <w:t>GRUPOS</w:t>
            </w:r>
          </w:p>
        </w:tc>
      </w:tr>
      <w:tr w:rsidR="00715143">
        <w:tc>
          <w:tcPr>
            <w:tcW w:w="4500" w:type="dxa"/>
            <w:tcBorders>
              <w:left w:val="single" w:sz="8" w:space="0" w:color="92CDDC"/>
              <w:bottom w:val="single" w:sz="8" w:space="0" w:color="92CDDC"/>
              <w:right w:val="single" w:sz="8" w:space="0" w:color="92CDDC"/>
            </w:tcBorders>
            <w:shd w:val="clear" w:color="auto" w:fill="DAEEF3"/>
            <w:tcMar>
              <w:top w:w="100" w:type="dxa"/>
              <w:left w:w="100" w:type="dxa"/>
              <w:bottom w:w="100" w:type="dxa"/>
              <w:right w:w="100" w:type="dxa"/>
            </w:tcMar>
          </w:tcPr>
          <w:p w:rsidR="00715143" w:rsidRDefault="00715143" w:rsidP="000F41B6">
            <w:pPr>
              <w:pStyle w:val="normal0"/>
              <w:spacing w:line="360" w:lineRule="auto"/>
              <w:ind w:left="100"/>
              <w:jc w:val="center"/>
            </w:pPr>
            <w:r w:rsidRPr="000F41B6">
              <w:rPr>
                <w:b/>
                <w:bCs/>
                <w:sz w:val="24"/>
                <w:szCs w:val="24"/>
                <w:shd w:val="clear" w:color="auto" w:fill="DAEEF3"/>
              </w:rPr>
              <w:t>G1 – vulnerabilidade extrema</w:t>
            </w:r>
          </w:p>
        </w:tc>
      </w:tr>
      <w:tr w:rsidR="00715143">
        <w:tc>
          <w:tcPr>
            <w:tcW w:w="4500" w:type="dxa"/>
            <w:tcBorders>
              <w:left w:val="single" w:sz="8" w:space="0" w:color="92CDDC"/>
              <w:bottom w:val="single" w:sz="8" w:space="0" w:color="92CDDC"/>
              <w:right w:val="single" w:sz="8" w:space="0" w:color="92CDDC"/>
            </w:tcBorders>
            <w:tcMar>
              <w:top w:w="100" w:type="dxa"/>
              <w:left w:w="100" w:type="dxa"/>
              <w:bottom w:w="100" w:type="dxa"/>
              <w:right w:w="100" w:type="dxa"/>
            </w:tcMar>
          </w:tcPr>
          <w:p w:rsidR="00715143" w:rsidRDefault="00715143" w:rsidP="000F41B6">
            <w:pPr>
              <w:pStyle w:val="normal0"/>
              <w:spacing w:line="360" w:lineRule="auto"/>
              <w:ind w:left="100"/>
              <w:jc w:val="center"/>
            </w:pPr>
            <w:r w:rsidRPr="000F41B6">
              <w:rPr>
                <w:b/>
                <w:bCs/>
                <w:sz w:val="24"/>
                <w:szCs w:val="24"/>
              </w:rPr>
              <w:t>G2 – vulnerabilidade alta</w:t>
            </w:r>
          </w:p>
        </w:tc>
      </w:tr>
      <w:tr w:rsidR="00715143">
        <w:tc>
          <w:tcPr>
            <w:tcW w:w="4500" w:type="dxa"/>
            <w:tcBorders>
              <w:left w:val="single" w:sz="8" w:space="0" w:color="92CDDC"/>
              <w:bottom w:val="single" w:sz="8" w:space="0" w:color="92CDDC"/>
              <w:right w:val="single" w:sz="8" w:space="0" w:color="92CDDC"/>
            </w:tcBorders>
            <w:shd w:val="clear" w:color="auto" w:fill="DAEEF3"/>
            <w:tcMar>
              <w:top w:w="100" w:type="dxa"/>
              <w:left w:w="100" w:type="dxa"/>
              <w:bottom w:w="100" w:type="dxa"/>
              <w:right w:w="100" w:type="dxa"/>
            </w:tcMar>
          </w:tcPr>
          <w:p w:rsidR="00715143" w:rsidRDefault="00715143" w:rsidP="000F41B6">
            <w:pPr>
              <w:pStyle w:val="normal0"/>
              <w:spacing w:line="360" w:lineRule="auto"/>
              <w:ind w:left="100"/>
              <w:jc w:val="center"/>
            </w:pPr>
            <w:r w:rsidRPr="000F41B6">
              <w:rPr>
                <w:b/>
                <w:bCs/>
                <w:sz w:val="24"/>
                <w:szCs w:val="24"/>
                <w:shd w:val="clear" w:color="auto" w:fill="DAEEF3"/>
              </w:rPr>
              <w:t>G3 – vulnerabilidade média</w:t>
            </w:r>
          </w:p>
        </w:tc>
      </w:tr>
      <w:tr w:rsidR="00715143">
        <w:tc>
          <w:tcPr>
            <w:tcW w:w="4500" w:type="dxa"/>
            <w:tcBorders>
              <w:left w:val="single" w:sz="8" w:space="0" w:color="92CDDC"/>
              <w:bottom w:val="single" w:sz="8" w:space="0" w:color="92CDDC"/>
              <w:right w:val="single" w:sz="8" w:space="0" w:color="92CDDC"/>
            </w:tcBorders>
            <w:tcMar>
              <w:top w:w="100" w:type="dxa"/>
              <w:left w:w="100" w:type="dxa"/>
              <w:bottom w:w="100" w:type="dxa"/>
              <w:right w:w="100" w:type="dxa"/>
            </w:tcMar>
          </w:tcPr>
          <w:p w:rsidR="00715143" w:rsidRDefault="00715143" w:rsidP="000F41B6">
            <w:pPr>
              <w:pStyle w:val="normal0"/>
              <w:spacing w:line="360" w:lineRule="auto"/>
              <w:ind w:left="100"/>
              <w:jc w:val="center"/>
            </w:pPr>
            <w:r w:rsidRPr="000F41B6">
              <w:rPr>
                <w:b/>
                <w:bCs/>
                <w:sz w:val="24"/>
                <w:szCs w:val="24"/>
                <w:highlight w:val="white"/>
              </w:rPr>
              <w:t>G4 – vulnerabilidade baixa</w:t>
            </w:r>
          </w:p>
        </w:tc>
      </w:tr>
    </w:tbl>
    <w:p w:rsidR="00715143" w:rsidRDefault="00715143">
      <w:pPr>
        <w:pStyle w:val="normal0"/>
        <w:spacing w:line="360" w:lineRule="auto"/>
        <w:jc w:val="both"/>
      </w:pPr>
      <w:r>
        <w:rPr>
          <w:sz w:val="24"/>
          <w:szCs w:val="24"/>
        </w:rPr>
        <w:t xml:space="preserve"> </w:t>
      </w:r>
    </w:p>
    <w:p w:rsidR="00715143" w:rsidRDefault="00715143">
      <w:pPr>
        <w:pStyle w:val="normal0"/>
        <w:spacing w:line="360" w:lineRule="auto"/>
        <w:jc w:val="both"/>
      </w:pPr>
    </w:p>
    <w:p w:rsidR="00715143" w:rsidRDefault="00715143">
      <w:pPr>
        <w:pStyle w:val="normal0"/>
        <w:spacing w:line="360" w:lineRule="auto"/>
        <w:jc w:val="both"/>
      </w:pPr>
      <w:r>
        <w:rPr>
          <w:b/>
          <w:bCs/>
          <w:sz w:val="24"/>
          <w:szCs w:val="24"/>
        </w:rPr>
        <w:t>5. DA CONCESSÃO DOS AUXÍLIOS</w:t>
      </w:r>
    </w:p>
    <w:p w:rsidR="00715143" w:rsidRDefault="00715143">
      <w:pPr>
        <w:pStyle w:val="normal0"/>
        <w:spacing w:line="360" w:lineRule="auto"/>
        <w:jc w:val="both"/>
      </w:pPr>
      <w:r>
        <w:rPr>
          <w:sz w:val="24"/>
          <w:szCs w:val="24"/>
        </w:rPr>
        <w:t>5.1 A distribuição dos auxílios será realizada conforme disponibilidade orçamentária do IFRS;</w:t>
      </w:r>
    </w:p>
    <w:p w:rsidR="00715143" w:rsidRDefault="00715143">
      <w:pPr>
        <w:pStyle w:val="normal0"/>
        <w:spacing w:line="360" w:lineRule="auto"/>
        <w:jc w:val="both"/>
      </w:pPr>
      <w:r>
        <w:rPr>
          <w:sz w:val="24"/>
          <w:szCs w:val="24"/>
        </w:rPr>
        <w:t>5.2 A concessão dos auxílios será realizada através de análise socioeconômica que levará em consideração a renda familiar e a vulnerabilidade socioeconômica, as quais serão informadas pelo estudante por meio do preenchimento do formulário socioeconômico eletrônico e da documentação comprobatória entregue no momento da inscrição, conforme item 3.2.</w:t>
      </w:r>
    </w:p>
    <w:p w:rsidR="00715143" w:rsidRDefault="00715143">
      <w:pPr>
        <w:pStyle w:val="normal0"/>
        <w:spacing w:line="360" w:lineRule="auto"/>
        <w:jc w:val="both"/>
      </w:pPr>
      <w:r>
        <w:rPr>
          <w:sz w:val="24"/>
          <w:szCs w:val="24"/>
        </w:rPr>
        <w:t>5.3 Caso restarem dúvidas à equipe técnica do NAAc, também poderão ser realizadas entrevistas e visitas domiciliares.</w:t>
      </w:r>
    </w:p>
    <w:p w:rsidR="00715143" w:rsidRDefault="00715143">
      <w:pPr>
        <w:pStyle w:val="normal0"/>
        <w:spacing w:line="360" w:lineRule="auto"/>
        <w:jc w:val="both"/>
      </w:pPr>
      <w:r>
        <w:rPr>
          <w:sz w:val="24"/>
          <w:szCs w:val="24"/>
        </w:rPr>
        <w:t>5.3.1 Caso o estudante não compareça à entrevista ou não conceda a visita domiciliar, sua solicitação será indeferida.</w:t>
      </w:r>
    </w:p>
    <w:p w:rsidR="00715143" w:rsidRDefault="00715143">
      <w:pPr>
        <w:pStyle w:val="normal0"/>
        <w:spacing w:line="360" w:lineRule="auto"/>
        <w:jc w:val="both"/>
      </w:pPr>
      <w:r>
        <w:rPr>
          <w:sz w:val="24"/>
          <w:szCs w:val="24"/>
        </w:rPr>
        <w:t xml:space="preserve"> </w:t>
      </w:r>
    </w:p>
    <w:p w:rsidR="00715143" w:rsidRDefault="00715143">
      <w:pPr>
        <w:pStyle w:val="normal0"/>
        <w:spacing w:line="360" w:lineRule="auto"/>
        <w:jc w:val="both"/>
      </w:pPr>
      <w:r>
        <w:rPr>
          <w:b/>
          <w:bCs/>
          <w:sz w:val="24"/>
          <w:szCs w:val="24"/>
        </w:rPr>
        <w:t>6. DO RECEBIMENTO DOS AUXÍLIOS</w:t>
      </w:r>
    </w:p>
    <w:p w:rsidR="00715143" w:rsidRDefault="00715143">
      <w:pPr>
        <w:pStyle w:val="normal0"/>
        <w:spacing w:line="360" w:lineRule="auto"/>
        <w:jc w:val="both"/>
      </w:pPr>
      <w:r>
        <w:rPr>
          <w:sz w:val="24"/>
          <w:szCs w:val="24"/>
        </w:rPr>
        <w:t>6.1 Os auxílios serão depositados em conta corrente, obrigatoriamente em nome do estudante;</w:t>
      </w:r>
    </w:p>
    <w:p w:rsidR="00715143" w:rsidRDefault="00715143">
      <w:pPr>
        <w:pStyle w:val="normal0"/>
        <w:spacing w:line="360" w:lineRule="auto"/>
        <w:jc w:val="both"/>
      </w:pPr>
      <w:r>
        <w:rPr>
          <w:sz w:val="24"/>
          <w:szCs w:val="24"/>
        </w:rPr>
        <w:t>6.2 Caso ocorra mudança de conta corrente durante a vigência do auxílio, o NAAc deverá ser notificado até o 10º dia do mês.</w:t>
      </w:r>
    </w:p>
    <w:p w:rsidR="00715143" w:rsidRDefault="00715143">
      <w:pPr>
        <w:pStyle w:val="normal0"/>
        <w:spacing w:line="360" w:lineRule="auto"/>
        <w:jc w:val="both"/>
      </w:pPr>
      <w:r>
        <w:rPr>
          <w:sz w:val="24"/>
          <w:szCs w:val="24"/>
        </w:rPr>
        <w:t xml:space="preserve">6.3 O pagamento referente aos auxílios deverá ser efetuado até o </w:t>
      </w:r>
      <w:r>
        <w:rPr>
          <w:b/>
          <w:bCs/>
          <w:sz w:val="24"/>
          <w:szCs w:val="24"/>
        </w:rPr>
        <w:t>décimo dia útil de cada mês</w:t>
      </w:r>
      <w:r>
        <w:rPr>
          <w:sz w:val="24"/>
          <w:szCs w:val="24"/>
        </w:rPr>
        <w:t xml:space="preserve">. </w:t>
      </w:r>
      <w:r>
        <w:rPr>
          <w:color w:val="333333"/>
          <w:sz w:val="24"/>
          <w:szCs w:val="24"/>
          <w:highlight w:val="white"/>
        </w:rPr>
        <w:t>Poderão ocorrer atrasos em função dos repasses dos recursos financeiros pelo Governo Federal.</w:t>
      </w:r>
    </w:p>
    <w:p w:rsidR="00715143" w:rsidRDefault="00715143">
      <w:pPr>
        <w:pStyle w:val="normal0"/>
        <w:spacing w:line="360" w:lineRule="auto"/>
        <w:jc w:val="both"/>
      </w:pPr>
      <w:r>
        <w:rPr>
          <w:sz w:val="24"/>
          <w:szCs w:val="24"/>
        </w:rPr>
        <w:t>6.4 O NAAc informará eventuais atrasos nos pagamentos dos auxílios.</w:t>
      </w:r>
    </w:p>
    <w:p w:rsidR="00715143" w:rsidRDefault="00715143">
      <w:pPr>
        <w:pStyle w:val="normal0"/>
        <w:spacing w:line="360" w:lineRule="auto"/>
        <w:jc w:val="both"/>
      </w:pPr>
      <w:r>
        <w:rPr>
          <w:sz w:val="24"/>
          <w:szCs w:val="24"/>
        </w:rPr>
        <w:t>6.5 Em caso de divergência entre o valor recebido e o valor designado para o auxílio ou o não recebimento do valor, o beneficiário terá 60 dias para recorrer, junto ao NAAc, a contar da data do pagamento. Após esse período não serão deferidas solicitações de pagamento retroativo.</w:t>
      </w:r>
    </w:p>
    <w:p w:rsidR="00715143" w:rsidRDefault="00715143">
      <w:pPr>
        <w:pStyle w:val="normal0"/>
        <w:spacing w:line="360" w:lineRule="auto"/>
        <w:jc w:val="both"/>
      </w:pPr>
      <w:r>
        <w:rPr>
          <w:sz w:val="24"/>
          <w:szCs w:val="24"/>
        </w:rPr>
        <w:t>6.6 Estendendo-se o calendário das aulas para além do semestre, o aluno terá garantido o pagamento dos auxílios até o final do semestre letivo.</w:t>
      </w:r>
    </w:p>
    <w:p w:rsidR="00715143" w:rsidRDefault="00715143">
      <w:pPr>
        <w:pStyle w:val="normal0"/>
        <w:spacing w:line="360" w:lineRule="auto"/>
        <w:jc w:val="both"/>
      </w:pPr>
      <w:r>
        <w:rPr>
          <w:sz w:val="24"/>
          <w:szCs w:val="24"/>
        </w:rPr>
        <w:t>6.6.1 Em caso de suspensão das aulas durante o semestre letivo, poderá a Direção-Geral, após pareceres da procuradoria federal e da auditoria interna, que deverão ser encaminhados, por escrito, ao Conselho do Campus Porto Alegre, manter ou suspender o pagamento dos auxílios previstos neste edital.</w:t>
      </w:r>
    </w:p>
    <w:p w:rsidR="00715143" w:rsidRDefault="00715143">
      <w:pPr>
        <w:pStyle w:val="normal0"/>
        <w:spacing w:line="360" w:lineRule="auto"/>
        <w:jc w:val="both"/>
      </w:pPr>
      <w:r>
        <w:rPr>
          <w:sz w:val="24"/>
          <w:szCs w:val="24"/>
        </w:rPr>
        <w:t xml:space="preserve"> </w:t>
      </w:r>
    </w:p>
    <w:p w:rsidR="00715143" w:rsidRDefault="00715143">
      <w:pPr>
        <w:pStyle w:val="normal0"/>
        <w:spacing w:line="360" w:lineRule="auto"/>
        <w:jc w:val="both"/>
      </w:pPr>
      <w:r>
        <w:rPr>
          <w:b/>
          <w:bCs/>
          <w:sz w:val="24"/>
          <w:szCs w:val="24"/>
        </w:rPr>
        <w:t>7. DAS CONDICIONALIDADES DOS AUXÍLIOS</w:t>
      </w:r>
    </w:p>
    <w:p w:rsidR="00715143" w:rsidRDefault="00715143">
      <w:pPr>
        <w:pStyle w:val="normal0"/>
        <w:spacing w:line="360" w:lineRule="auto"/>
        <w:jc w:val="both"/>
      </w:pPr>
      <w:r>
        <w:rPr>
          <w:b/>
          <w:bCs/>
          <w:sz w:val="24"/>
          <w:szCs w:val="24"/>
        </w:rPr>
        <w:t>7.1 Para o recebimento dos auxílios e sua manutenção:</w:t>
      </w:r>
    </w:p>
    <w:p w:rsidR="00715143" w:rsidRDefault="00715143">
      <w:pPr>
        <w:pStyle w:val="normal0"/>
        <w:spacing w:line="360" w:lineRule="auto"/>
        <w:jc w:val="both"/>
      </w:pPr>
      <w:r>
        <w:rPr>
          <w:sz w:val="24"/>
          <w:szCs w:val="24"/>
        </w:rPr>
        <w:t>I – apresentar frequência regimental de 75% no semestre letivo nas disciplinas em que estiver matriculado, salvo situações em que o estudante tiver protocolado junto à Secretaria Acadêmica justificativa válida para a infrequência. Situações específicas poderão ser avaliadas pela equipe técnica do NAAc, o qual deverá emitir parecer de justificativa da manutenção do auxílio;</w:t>
      </w:r>
    </w:p>
    <w:p w:rsidR="00715143" w:rsidRDefault="00715143">
      <w:pPr>
        <w:pStyle w:val="normal0"/>
        <w:spacing w:line="360" w:lineRule="auto"/>
        <w:jc w:val="both"/>
      </w:pPr>
      <w:r>
        <w:rPr>
          <w:sz w:val="24"/>
          <w:szCs w:val="24"/>
        </w:rPr>
        <w:t>II - o aluno ingressante poderá manter seus auxílios apresentando frequencia regimental em mais de 50% das disciplinas em que estiver matriculado;</w:t>
      </w:r>
    </w:p>
    <w:p w:rsidR="00715143" w:rsidRDefault="00715143">
      <w:pPr>
        <w:pStyle w:val="normal0"/>
        <w:spacing w:line="360" w:lineRule="auto"/>
        <w:jc w:val="both"/>
      </w:pPr>
      <w:r>
        <w:rPr>
          <w:sz w:val="24"/>
          <w:szCs w:val="24"/>
        </w:rPr>
        <w:t>III – atender, a qualquer tempo, chamadas do NAAc para comparecer a reuniões de avaliação ou apresentar novos documentos.</w:t>
      </w:r>
    </w:p>
    <w:p w:rsidR="00715143" w:rsidRDefault="00715143">
      <w:pPr>
        <w:pStyle w:val="normal0"/>
        <w:spacing w:line="360" w:lineRule="auto"/>
        <w:jc w:val="both"/>
      </w:pPr>
      <w:r>
        <w:rPr>
          <w:sz w:val="24"/>
          <w:szCs w:val="24"/>
        </w:rPr>
        <w:t xml:space="preserve"> </w:t>
      </w:r>
    </w:p>
    <w:p w:rsidR="00715143" w:rsidRDefault="00715143">
      <w:pPr>
        <w:pStyle w:val="normal0"/>
        <w:spacing w:line="360" w:lineRule="auto"/>
        <w:jc w:val="both"/>
      </w:pPr>
      <w:r>
        <w:rPr>
          <w:b/>
          <w:bCs/>
          <w:sz w:val="24"/>
          <w:szCs w:val="24"/>
        </w:rPr>
        <w:t>7.2 Do cancelamento dos auxílios</w:t>
      </w:r>
    </w:p>
    <w:p w:rsidR="00715143" w:rsidRDefault="00715143">
      <w:pPr>
        <w:pStyle w:val="normal0"/>
        <w:spacing w:line="360" w:lineRule="auto"/>
        <w:jc w:val="both"/>
      </w:pPr>
      <w:r>
        <w:rPr>
          <w:sz w:val="24"/>
          <w:szCs w:val="24"/>
        </w:rPr>
        <w:t>7.2.1 Todos os auxílios poderão ser cancelados, a qualquer tempo, nos casos em que:</w:t>
      </w:r>
    </w:p>
    <w:p w:rsidR="00715143" w:rsidRDefault="00715143">
      <w:pPr>
        <w:pStyle w:val="normal0"/>
        <w:spacing w:line="360" w:lineRule="auto"/>
        <w:jc w:val="both"/>
      </w:pPr>
      <w:r>
        <w:rPr>
          <w:sz w:val="24"/>
          <w:szCs w:val="24"/>
        </w:rPr>
        <w:t>I – o estudante diplomar-se, trancar ou cancelar a matrícula, transferir-se para outra instituição e/ou evadir;</w:t>
      </w:r>
    </w:p>
    <w:p w:rsidR="00715143" w:rsidRDefault="00715143">
      <w:pPr>
        <w:pStyle w:val="normal0"/>
        <w:spacing w:line="360" w:lineRule="auto"/>
        <w:jc w:val="both"/>
      </w:pPr>
      <w:r>
        <w:rPr>
          <w:sz w:val="24"/>
          <w:szCs w:val="24"/>
        </w:rPr>
        <w:t>II – apresentar, ao longo do semestre, infrequência superior a 25% em uma ou mais das disciplinas em que estiver matriculado, indicando que haverá reprovação com conceito E. Os dados para controle serão obtidos a partir dos registros de frequência feitos pelos docentes no Campus Digital;</w:t>
      </w:r>
    </w:p>
    <w:p w:rsidR="00715143" w:rsidRDefault="00715143">
      <w:pPr>
        <w:pStyle w:val="normal0"/>
        <w:spacing w:line="360" w:lineRule="auto"/>
        <w:jc w:val="both"/>
      </w:pPr>
      <w:r>
        <w:rPr>
          <w:sz w:val="24"/>
          <w:szCs w:val="24"/>
        </w:rPr>
        <w:t>III – apresentar, ao final do semestre, reprovação por infrequência em uma ou mais das disciplinas em que estiver matriculado. Neste caso, o auxílio será cancelado para o semestre posterior.</w:t>
      </w:r>
    </w:p>
    <w:p w:rsidR="00715143" w:rsidRDefault="00715143">
      <w:pPr>
        <w:pStyle w:val="normal0"/>
        <w:spacing w:line="360" w:lineRule="auto"/>
        <w:jc w:val="both"/>
      </w:pPr>
      <w:r>
        <w:rPr>
          <w:sz w:val="24"/>
          <w:szCs w:val="24"/>
        </w:rPr>
        <w:t xml:space="preserve">IV - o estudante ingressante apresentar ao final do semestre </w:t>
      </w:r>
      <w:r w:rsidRPr="00A04873">
        <w:rPr>
          <w:b/>
          <w:bCs/>
          <w:sz w:val="24"/>
          <w:szCs w:val="24"/>
        </w:rPr>
        <w:t xml:space="preserve">reprovação por infrequência </w:t>
      </w:r>
      <w:r>
        <w:rPr>
          <w:sz w:val="24"/>
          <w:szCs w:val="24"/>
        </w:rPr>
        <w:t>em mais de 50% das disciplinas em que estiver matriculado;</w:t>
      </w:r>
    </w:p>
    <w:p w:rsidR="00715143" w:rsidRDefault="00715143">
      <w:pPr>
        <w:pStyle w:val="normal0"/>
        <w:spacing w:line="360" w:lineRule="auto"/>
        <w:jc w:val="both"/>
      </w:pPr>
      <w:r>
        <w:rPr>
          <w:sz w:val="24"/>
          <w:szCs w:val="24"/>
        </w:rPr>
        <w:t>V – a disciplina de estágio e de TCC serão consideradas componentes curriculares como os demais para fins de verificação para manutenção ou cancelamento dos auxílios;</w:t>
      </w:r>
    </w:p>
    <w:p w:rsidR="00715143" w:rsidRDefault="00715143">
      <w:pPr>
        <w:pStyle w:val="normal0"/>
        <w:spacing w:line="360" w:lineRule="auto"/>
        <w:jc w:val="both"/>
      </w:pPr>
      <w:r>
        <w:rPr>
          <w:sz w:val="24"/>
          <w:szCs w:val="24"/>
        </w:rPr>
        <w:t>VI – não atender, a qualquer tempo, chamamentos do NAAc para comparecer a reuniões de avaliação ou apresentar novos documentos;</w:t>
      </w:r>
    </w:p>
    <w:p w:rsidR="00715143" w:rsidRDefault="00715143">
      <w:pPr>
        <w:pStyle w:val="normal0"/>
        <w:spacing w:line="360" w:lineRule="auto"/>
        <w:jc w:val="both"/>
      </w:pPr>
      <w:r>
        <w:rPr>
          <w:sz w:val="24"/>
          <w:szCs w:val="24"/>
        </w:rPr>
        <w:t>VII - forem verificadas inveracidades ou omissões de informações nos documentos de inscrição;</w:t>
      </w:r>
    </w:p>
    <w:p w:rsidR="00715143" w:rsidRDefault="00715143">
      <w:pPr>
        <w:pStyle w:val="normal0"/>
        <w:spacing w:line="360" w:lineRule="auto"/>
        <w:jc w:val="both"/>
      </w:pPr>
    </w:p>
    <w:p w:rsidR="00715143" w:rsidRDefault="00715143">
      <w:pPr>
        <w:pStyle w:val="normal0"/>
        <w:spacing w:line="360" w:lineRule="auto"/>
        <w:jc w:val="both"/>
      </w:pPr>
      <w:r>
        <w:rPr>
          <w:b/>
          <w:bCs/>
          <w:sz w:val="24"/>
          <w:szCs w:val="24"/>
        </w:rPr>
        <w:t>7.3 Do Desligamento</w:t>
      </w:r>
    </w:p>
    <w:p w:rsidR="00715143" w:rsidRDefault="00715143">
      <w:pPr>
        <w:pStyle w:val="normal0"/>
        <w:spacing w:line="360" w:lineRule="auto"/>
        <w:jc w:val="both"/>
      </w:pPr>
      <w:r>
        <w:rPr>
          <w:sz w:val="24"/>
          <w:szCs w:val="24"/>
        </w:rPr>
        <w:t>7.3.1 O estudante contemplado neste edital poderá se desligar dos auxílios, a qualquer tempo, mediante apresentação do TERMO DE DESLIGAMENTO (Anexo IV) ao NAAc.</w:t>
      </w:r>
    </w:p>
    <w:p w:rsidR="00715143" w:rsidRDefault="00715143">
      <w:pPr>
        <w:pStyle w:val="normal0"/>
        <w:spacing w:line="360" w:lineRule="auto"/>
        <w:jc w:val="both"/>
      </w:pPr>
      <w:r>
        <w:rPr>
          <w:sz w:val="24"/>
          <w:szCs w:val="24"/>
        </w:rPr>
        <w:t xml:space="preserve"> </w:t>
      </w:r>
    </w:p>
    <w:p w:rsidR="00715143" w:rsidRDefault="00715143">
      <w:pPr>
        <w:pStyle w:val="normal0"/>
        <w:spacing w:line="360" w:lineRule="auto"/>
        <w:jc w:val="both"/>
      </w:pPr>
      <w:r>
        <w:rPr>
          <w:b/>
          <w:bCs/>
          <w:sz w:val="24"/>
          <w:szCs w:val="24"/>
        </w:rPr>
        <w:t>8. DAS RENOVAÇÕES DE EDITAIS ANTERIORES</w:t>
      </w:r>
    </w:p>
    <w:p w:rsidR="00715143" w:rsidRDefault="00715143">
      <w:pPr>
        <w:pStyle w:val="normal0"/>
        <w:spacing w:line="360" w:lineRule="auto"/>
        <w:jc w:val="both"/>
      </w:pPr>
      <w:r>
        <w:rPr>
          <w:sz w:val="24"/>
          <w:szCs w:val="24"/>
        </w:rPr>
        <w:t>8.1 Serão renovados automaticamente os auxílios dos estudantes com análise socioeconômica realizada há menos de dois (02) anos, regularmente matriculados e que atendam ao item 7 deste edital;</w:t>
      </w:r>
    </w:p>
    <w:p w:rsidR="00715143" w:rsidRDefault="00715143">
      <w:pPr>
        <w:pStyle w:val="normal0"/>
        <w:spacing w:line="360" w:lineRule="auto"/>
        <w:jc w:val="both"/>
      </w:pPr>
      <w:r>
        <w:rPr>
          <w:sz w:val="24"/>
          <w:szCs w:val="24"/>
        </w:rPr>
        <w:t>8.2 Será publicada listagem com o número de matrícula dos estudantes com auxílios renovados, após encerramento do período de rematrículas para o semestre 2017/1.</w:t>
      </w:r>
    </w:p>
    <w:p w:rsidR="00715143" w:rsidRDefault="00715143">
      <w:pPr>
        <w:pStyle w:val="normal0"/>
        <w:spacing w:line="360" w:lineRule="auto"/>
        <w:jc w:val="both"/>
      </w:pPr>
      <w:r>
        <w:rPr>
          <w:sz w:val="24"/>
          <w:szCs w:val="24"/>
        </w:rPr>
        <w:t xml:space="preserve">8.3 Os estudantes com auxílios renovados serão reclassificados em novos grupos de vulnerabilidade, contemplando quatro grupos de classificação. </w:t>
      </w:r>
    </w:p>
    <w:p w:rsidR="00715143" w:rsidRDefault="00715143">
      <w:pPr>
        <w:pStyle w:val="normal0"/>
        <w:spacing w:line="360" w:lineRule="auto"/>
        <w:jc w:val="both"/>
      </w:pPr>
    </w:p>
    <w:p w:rsidR="00715143" w:rsidRDefault="00715143">
      <w:pPr>
        <w:pStyle w:val="normal0"/>
        <w:spacing w:line="360" w:lineRule="auto"/>
        <w:jc w:val="both"/>
      </w:pPr>
    </w:p>
    <w:p w:rsidR="00715143" w:rsidRDefault="00715143">
      <w:pPr>
        <w:pStyle w:val="normal0"/>
        <w:spacing w:line="360" w:lineRule="auto"/>
        <w:jc w:val="both"/>
      </w:pPr>
    </w:p>
    <w:p w:rsidR="00715143" w:rsidRDefault="00715143">
      <w:pPr>
        <w:pStyle w:val="normal0"/>
        <w:spacing w:line="360" w:lineRule="auto"/>
        <w:jc w:val="both"/>
      </w:pPr>
    </w:p>
    <w:p w:rsidR="00715143" w:rsidRDefault="00715143">
      <w:pPr>
        <w:pStyle w:val="normal0"/>
        <w:spacing w:line="360" w:lineRule="auto"/>
        <w:jc w:val="both"/>
      </w:pPr>
    </w:p>
    <w:p w:rsidR="00715143" w:rsidRDefault="00715143">
      <w:pPr>
        <w:pStyle w:val="normal0"/>
        <w:spacing w:line="360" w:lineRule="auto"/>
        <w:jc w:val="both"/>
      </w:pPr>
    </w:p>
    <w:p w:rsidR="00715143" w:rsidRDefault="00715143">
      <w:pPr>
        <w:pStyle w:val="normal0"/>
        <w:spacing w:line="360" w:lineRule="auto"/>
        <w:jc w:val="both"/>
      </w:pPr>
      <w:r>
        <w:rPr>
          <w:b/>
          <w:bCs/>
          <w:sz w:val="24"/>
          <w:szCs w:val="24"/>
        </w:rPr>
        <w:t>9. DA DIVULGAÇÃO DOS RESULTADOS</w:t>
      </w:r>
    </w:p>
    <w:p w:rsidR="00715143" w:rsidRDefault="00715143">
      <w:pPr>
        <w:pStyle w:val="normal0"/>
        <w:spacing w:line="360" w:lineRule="auto"/>
        <w:jc w:val="both"/>
      </w:pPr>
      <w:r>
        <w:rPr>
          <w:sz w:val="24"/>
          <w:szCs w:val="24"/>
        </w:rPr>
        <w:t>9.1 Os resultados serão divulgados no mural em frente ao Núcleo de Acompanhamento Acadêmico (NAAc), na Rua Coronel Vicente, nº 281, 5º andar, e também no site www.poa.ifrs.edu.br, até o dia 31 de março de 2017.</w:t>
      </w:r>
    </w:p>
    <w:p w:rsidR="00715143" w:rsidRDefault="00715143">
      <w:pPr>
        <w:pStyle w:val="normal0"/>
        <w:spacing w:line="360" w:lineRule="auto"/>
        <w:jc w:val="both"/>
      </w:pPr>
      <w:r>
        <w:rPr>
          <w:sz w:val="24"/>
          <w:szCs w:val="24"/>
        </w:rPr>
        <w:t xml:space="preserve">9.2 Os resultados serão divulgados através do </w:t>
      </w:r>
      <w:r>
        <w:rPr>
          <w:b/>
          <w:bCs/>
          <w:sz w:val="24"/>
          <w:szCs w:val="24"/>
        </w:rPr>
        <w:t>número de matrícula</w:t>
      </w:r>
      <w:r>
        <w:rPr>
          <w:sz w:val="24"/>
          <w:szCs w:val="24"/>
        </w:rPr>
        <w:t>.</w:t>
      </w:r>
    </w:p>
    <w:p w:rsidR="00715143" w:rsidRDefault="00715143">
      <w:pPr>
        <w:pStyle w:val="normal0"/>
        <w:spacing w:line="360" w:lineRule="auto"/>
        <w:jc w:val="both"/>
      </w:pPr>
      <w:r>
        <w:rPr>
          <w:b/>
          <w:bCs/>
          <w:sz w:val="24"/>
          <w:szCs w:val="24"/>
        </w:rPr>
        <w:t xml:space="preserve"> </w:t>
      </w:r>
    </w:p>
    <w:p w:rsidR="00715143" w:rsidRDefault="00715143">
      <w:pPr>
        <w:pStyle w:val="normal0"/>
        <w:spacing w:line="360" w:lineRule="auto"/>
        <w:jc w:val="both"/>
      </w:pPr>
      <w:r>
        <w:rPr>
          <w:b/>
          <w:bCs/>
          <w:sz w:val="24"/>
          <w:szCs w:val="24"/>
        </w:rPr>
        <w:t>10. DOS RECURSOS</w:t>
      </w:r>
    </w:p>
    <w:p w:rsidR="00715143" w:rsidRDefault="00715143">
      <w:pPr>
        <w:pStyle w:val="normal0"/>
        <w:spacing w:line="360" w:lineRule="auto"/>
        <w:jc w:val="both"/>
      </w:pPr>
      <w:r>
        <w:rPr>
          <w:sz w:val="24"/>
          <w:szCs w:val="24"/>
        </w:rPr>
        <w:t>10.1 Os recursos serão recebidos até 02 dias úteis após a divulgação dos resultados, no NAAc;</w:t>
      </w:r>
    </w:p>
    <w:p w:rsidR="00715143" w:rsidRDefault="00715143">
      <w:pPr>
        <w:pStyle w:val="normal0"/>
        <w:spacing w:line="360" w:lineRule="auto"/>
        <w:jc w:val="both"/>
      </w:pPr>
      <w:r>
        <w:rPr>
          <w:sz w:val="24"/>
          <w:szCs w:val="24"/>
        </w:rPr>
        <w:t>10.2 Os recursos serão avaliados no prazo de um (01) dia útil;</w:t>
      </w:r>
    </w:p>
    <w:p w:rsidR="00715143" w:rsidRDefault="00715143">
      <w:pPr>
        <w:pStyle w:val="normal0"/>
        <w:spacing w:line="360" w:lineRule="auto"/>
        <w:jc w:val="both"/>
      </w:pPr>
      <w:r>
        <w:rPr>
          <w:sz w:val="24"/>
          <w:szCs w:val="24"/>
        </w:rPr>
        <w:t>10.3 Para interpor recurso, o estudante precisa apresentar carta de próprio punho, constando de argumentação para a reconsideração da solicitação e, caso haja fato novo ocorrido no período de análise, anexar nova documentação comprobatória;</w:t>
      </w:r>
    </w:p>
    <w:p w:rsidR="00715143" w:rsidRDefault="00715143">
      <w:pPr>
        <w:pStyle w:val="normal0"/>
        <w:spacing w:line="360" w:lineRule="auto"/>
        <w:jc w:val="both"/>
      </w:pPr>
      <w:r>
        <w:rPr>
          <w:sz w:val="24"/>
          <w:szCs w:val="24"/>
        </w:rPr>
        <w:t>10.4 Não serão consideradas as documentações com data anterior à solicitação do auxílio;</w:t>
      </w:r>
    </w:p>
    <w:p w:rsidR="00715143" w:rsidRDefault="00715143">
      <w:pPr>
        <w:pStyle w:val="normal0"/>
        <w:spacing w:line="360" w:lineRule="auto"/>
        <w:jc w:val="both"/>
      </w:pPr>
      <w:r>
        <w:rPr>
          <w:sz w:val="24"/>
          <w:szCs w:val="24"/>
        </w:rPr>
        <w:t>10.5 Não caberá recurso com a finalidade de complementar a documentação;</w:t>
      </w:r>
    </w:p>
    <w:p w:rsidR="00715143" w:rsidRDefault="00715143">
      <w:pPr>
        <w:pStyle w:val="normal0"/>
        <w:spacing w:line="360" w:lineRule="auto"/>
        <w:jc w:val="both"/>
      </w:pPr>
      <w:r>
        <w:rPr>
          <w:sz w:val="24"/>
          <w:szCs w:val="24"/>
        </w:rPr>
        <w:t>10.6 O resultado dos recursos será divulgado no mural em frente ao NAAc e no site do campus, conforme cronograma (Item 11);</w:t>
      </w:r>
    </w:p>
    <w:p w:rsidR="00715143" w:rsidRDefault="00715143">
      <w:pPr>
        <w:pStyle w:val="normal0"/>
        <w:spacing w:line="360" w:lineRule="auto"/>
        <w:jc w:val="both"/>
      </w:pPr>
      <w:r>
        <w:rPr>
          <w:sz w:val="24"/>
          <w:szCs w:val="24"/>
        </w:rPr>
        <w:t>10.7 O estudante inscrito neste edital poderá pedir reavaliação a qualquer tempo quando ocorrerem alterações em sua situação socioeconômica. Mediante comprovação documental poderá haver nova classificação de seu Grupo de Situação Socioeconômica. O aceite desta reavaliação está condicionado à disponibilidade orçamentário-financeira.</w:t>
      </w:r>
    </w:p>
    <w:p w:rsidR="00715143" w:rsidRDefault="00715143">
      <w:pPr>
        <w:pStyle w:val="normal0"/>
        <w:spacing w:line="360" w:lineRule="auto"/>
        <w:jc w:val="both"/>
        <w:rPr>
          <w:sz w:val="24"/>
          <w:szCs w:val="24"/>
        </w:rPr>
      </w:pPr>
      <w:r>
        <w:rPr>
          <w:sz w:val="24"/>
          <w:szCs w:val="24"/>
        </w:rPr>
        <w:t xml:space="preserve"> </w:t>
      </w:r>
    </w:p>
    <w:p w:rsidR="00715143" w:rsidRDefault="00715143">
      <w:pPr>
        <w:pStyle w:val="normal0"/>
        <w:spacing w:line="360" w:lineRule="auto"/>
        <w:jc w:val="both"/>
        <w:rPr>
          <w:sz w:val="24"/>
          <w:szCs w:val="24"/>
        </w:rPr>
      </w:pPr>
    </w:p>
    <w:p w:rsidR="00715143" w:rsidRDefault="00715143">
      <w:pPr>
        <w:pStyle w:val="normal0"/>
        <w:spacing w:line="360" w:lineRule="auto"/>
        <w:jc w:val="both"/>
        <w:rPr>
          <w:sz w:val="24"/>
          <w:szCs w:val="24"/>
        </w:rPr>
      </w:pPr>
    </w:p>
    <w:p w:rsidR="00715143" w:rsidRDefault="00715143">
      <w:pPr>
        <w:pStyle w:val="normal0"/>
        <w:spacing w:line="360" w:lineRule="auto"/>
        <w:jc w:val="both"/>
        <w:rPr>
          <w:sz w:val="24"/>
          <w:szCs w:val="24"/>
        </w:rPr>
      </w:pPr>
    </w:p>
    <w:p w:rsidR="00715143" w:rsidRDefault="00715143">
      <w:pPr>
        <w:pStyle w:val="normal0"/>
        <w:spacing w:line="360" w:lineRule="auto"/>
        <w:jc w:val="both"/>
        <w:rPr>
          <w:sz w:val="24"/>
          <w:szCs w:val="24"/>
        </w:rPr>
      </w:pPr>
    </w:p>
    <w:p w:rsidR="00715143" w:rsidRDefault="00715143">
      <w:pPr>
        <w:pStyle w:val="normal0"/>
        <w:spacing w:line="360" w:lineRule="auto"/>
        <w:jc w:val="both"/>
      </w:pPr>
    </w:p>
    <w:p w:rsidR="00715143" w:rsidRDefault="00715143">
      <w:pPr>
        <w:pStyle w:val="normal0"/>
        <w:spacing w:line="360" w:lineRule="auto"/>
        <w:jc w:val="both"/>
      </w:pPr>
      <w:r>
        <w:rPr>
          <w:b/>
          <w:bCs/>
          <w:sz w:val="24"/>
          <w:szCs w:val="24"/>
        </w:rPr>
        <w:t>11. DO CRONOGRAMA</w:t>
      </w:r>
    </w:p>
    <w:p w:rsidR="00715143" w:rsidRDefault="00715143">
      <w:pPr>
        <w:pStyle w:val="normal0"/>
        <w:spacing w:line="360" w:lineRule="auto"/>
        <w:jc w:val="both"/>
      </w:pPr>
    </w:p>
    <w:tbl>
      <w:tblPr>
        <w:tblW w:w="9015" w:type="dxa"/>
        <w:tblInd w:w="-106"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000"/>
      </w:tblPr>
      <w:tblGrid>
        <w:gridCol w:w="1410"/>
        <w:gridCol w:w="1860"/>
        <w:gridCol w:w="2199"/>
        <w:gridCol w:w="3546"/>
      </w:tblGrid>
      <w:tr w:rsidR="00715143">
        <w:tc>
          <w:tcPr>
            <w:tcW w:w="3270" w:type="dxa"/>
            <w:gridSpan w:val="2"/>
            <w:tcBorders>
              <w:top w:val="single" w:sz="12" w:space="0" w:color="000000"/>
              <w:left w:val="single" w:sz="12" w:space="0" w:color="000000"/>
              <w:bottom w:val="single" w:sz="12" w:space="0" w:color="000000"/>
              <w:right w:val="single" w:sz="12" w:space="0" w:color="000000"/>
            </w:tcBorders>
            <w:tcMar>
              <w:left w:w="40" w:type="dxa"/>
              <w:right w:w="40" w:type="dxa"/>
            </w:tcMar>
          </w:tcPr>
          <w:p w:rsidR="00715143" w:rsidRDefault="00715143" w:rsidP="000F41B6">
            <w:pPr>
              <w:pStyle w:val="normal0"/>
              <w:spacing w:line="360" w:lineRule="auto"/>
              <w:jc w:val="center"/>
            </w:pPr>
            <w:r w:rsidRPr="000F41B6">
              <w:rPr>
                <w:b/>
                <w:bCs/>
                <w:sz w:val="24"/>
                <w:szCs w:val="24"/>
              </w:rPr>
              <w:t>ATIVIDADE</w:t>
            </w:r>
          </w:p>
        </w:tc>
        <w:tc>
          <w:tcPr>
            <w:tcW w:w="2199" w:type="dxa"/>
            <w:tcBorders>
              <w:top w:val="single" w:sz="12" w:space="0" w:color="000000"/>
              <w:bottom w:val="single" w:sz="12" w:space="0" w:color="000000"/>
              <w:right w:val="single" w:sz="12" w:space="0" w:color="000000"/>
            </w:tcBorders>
            <w:tcMar>
              <w:left w:w="40" w:type="dxa"/>
              <w:right w:w="40" w:type="dxa"/>
            </w:tcMar>
          </w:tcPr>
          <w:p w:rsidR="00715143" w:rsidRDefault="00715143" w:rsidP="000F41B6">
            <w:pPr>
              <w:pStyle w:val="normal0"/>
              <w:spacing w:line="360" w:lineRule="auto"/>
              <w:jc w:val="center"/>
            </w:pPr>
            <w:r w:rsidRPr="000F41B6">
              <w:rPr>
                <w:b/>
                <w:bCs/>
                <w:sz w:val="24"/>
                <w:szCs w:val="24"/>
              </w:rPr>
              <w:t>DATA</w:t>
            </w:r>
          </w:p>
        </w:tc>
        <w:tc>
          <w:tcPr>
            <w:tcW w:w="3546" w:type="dxa"/>
            <w:tcBorders>
              <w:top w:val="single" w:sz="12" w:space="0" w:color="000000"/>
              <w:bottom w:val="single" w:sz="12" w:space="0" w:color="000000"/>
              <w:right w:val="single" w:sz="12" w:space="0" w:color="000000"/>
            </w:tcBorders>
            <w:tcMar>
              <w:left w:w="40" w:type="dxa"/>
              <w:right w:w="40" w:type="dxa"/>
            </w:tcMar>
          </w:tcPr>
          <w:p w:rsidR="00715143" w:rsidRDefault="00715143" w:rsidP="000F41B6">
            <w:pPr>
              <w:pStyle w:val="normal0"/>
              <w:spacing w:line="360" w:lineRule="auto"/>
              <w:jc w:val="center"/>
            </w:pPr>
            <w:r w:rsidRPr="000F41B6">
              <w:rPr>
                <w:b/>
                <w:bCs/>
                <w:sz w:val="24"/>
                <w:szCs w:val="24"/>
              </w:rPr>
              <w:t>LOCAL</w:t>
            </w:r>
          </w:p>
        </w:tc>
      </w:tr>
      <w:tr w:rsidR="00715143">
        <w:trPr>
          <w:trHeight w:val="379"/>
        </w:trPr>
        <w:tc>
          <w:tcPr>
            <w:tcW w:w="1410" w:type="dxa"/>
            <w:vMerge w:val="restart"/>
            <w:tcBorders>
              <w:left w:val="single" w:sz="12" w:space="0" w:color="000000"/>
              <w:right w:val="single" w:sz="12" w:space="0" w:color="000000"/>
            </w:tcBorders>
            <w:shd w:val="clear" w:color="auto" w:fill="99CCFF"/>
            <w:tcMar>
              <w:left w:w="40" w:type="dxa"/>
              <w:right w:w="40" w:type="dxa"/>
            </w:tcMar>
            <w:vAlign w:val="bottom"/>
          </w:tcPr>
          <w:p w:rsidR="00715143" w:rsidRDefault="00715143" w:rsidP="000F41B6">
            <w:pPr>
              <w:pStyle w:val="normal0"/>
              <w:spacing w:line="360" w:lineRule="auto"/>
              <w:jc w:val="center"/>
            </w:pPr>
            <w:r w:rsidRPr="000F41B6">
              <w:rPr>
                <w:b/>
                <w:bCs/>
                <w:sz w:val="20"/>
                <w:szCs w:val="20"/>
                <w:shd w:val="clear" w:color="auto" w:fill="99CCFF"/>
              </w:rPr>
              <w:t>INSCRIÇÕES</w:t>
            </w:r>
          </w:p>
          <w:p w:rsidR="00715143" w:rsidRDefault="00715143" w:rsidP="000F41B6">
            <w:pPr>
              <w:pStyle w:val="normal0"/>
              <w:spacing w:line="360" w:lineRule="auto"/>
              <w:jc w:val="center"/>
            </w:pPr>
          </w:p>
          <w:p w:rsidR="00715143" w:rsidRDefault="00715143" w:rsidP="000F41B6">
            <w:pPr>
              <w:pStyle w:val="normal0"/>
              <w:spacing w:line="360" w:lineRule="auto"/>
              <w:jc w:val="center"/>
            </w:pPr>
          </w:p>
          <w:p w:rsidR="00715143" w:rsidRDefault="00715143" w:rsidP="000F41B6">
            <w:pPr>
              <w:pStyle w:val="normal0"/>
              <w:spacing w:line="360" w:lineRule="auto"/>
              <w:jc w:val="center"/>
            </w:pPr>
          </w:p>
          <w:p w:rsidR="00715143" w:rsidRDefault="00715143" w:rsidP="000F41B6">
            <w:pPr>
              <w:pStyle w:val="normal0"/>
              <w:spacing w:line="360" w:lineRule="auto"/>
              <w:jc w:val="center"/>
            </w:pPr>
          </w:p>
        </w:tc>
        <w:tc>
          <w:tcPr>
            <w:tcW w:w="1860" w:type="dxa"/>
            <w:vMerge w:val="restart"/>
            <w:tcBorders>
              <w:right w:val="single" w:sz="12" w:space="0" w:color="000000"/>
            </w:tcBorders>
            <w:shd w:val="clear" w:color="auto" w:fill="CCFFFF"/>
            <w:tcMar>
              <w:left w:w="40" w:type="dxa"/>
              <w:right w:w="40" w:type="dxa"/>
            </w:tcMar>
            <w:vAlign w:val="bottom"/>
          </w:tcPr>
          <w:p w:rsidR="00715143" w:rsidRDefault="00715143" w:rsidP="000F41B6">
            <w:pPr>
              <w:pStyle w:val="normal0"/>
              <w:spacing w:line="360" w:lineRule="auto"/>
              <w:jc w:val="center"/>
            </w:pPr>
            <w:r w:rsidRPr="000F41B6">
              <w:rPr>
                <w:b/>
                <w:bCs/>
                <w:sz w:val="20"/>
                <w:szCs w:val="20"/>
                <w:shd w:val="clear" w:color="auto" w:fill="CCFFFF"/>
              </w:rPr>
              <w:t>Preenchimento do</w:t>
            </w:r>
          </w:p>
          <w:p w:rsidR="00715143" w:rsidRDefault="00715143" w:rsidP="000F41B6">
            <w:pPr>
              <w:pStyle w:val="normal0"/>
              <w:spacing w:line="360" w:lineRule="auto"/>
              <w:jc w:val="center"/>
            </w:pPr>
            <w:r w:rsidRPr="000F41B6">
              <w:rPr>
                <w:b/>
                <w:bCs/>
                <w:sz w:val="20"/>
                <w:szCs w:val="20"/>
                <w:shd w:val="clear" w:color="auto" w:fill="CCFFFF"/>
              </w:rPr>
              <w:t>Formulário Socioeconômico</w:t>
            </w:r>
          </w:p>
          <w:p w:rsidR="00715143" w:rsidRDefault="00715143" w:rsidP="000F41B6">
            <w:pPr>
              <w:pStyle w:val="normal0"/>
              <w:spacing w:line="360" w:lineRule="auto"/>
              <w:jc w:val="center"/>
            </w:pPr>
            <w:r w:rsidRPr="000F41B6">
              <w:rPr>
                <w:b/>
                <w:bCs/>
                <w:sz w:val="20"/>
                <w:szCs w:val="20"/>
                <w:shd w:val="clear" w:color="auto" w:fill="CCFFFF"/>
              </w:rPr>
              <w:t>Eletrônico</w:t>
            </w:r>
          </w:p>
        </w:tc>
        <w:tc>
          <w:tcPr>
            <w:tcW w:w="2199" w:type="dxa"/>
            <w:vMerge w:val="restart"/>
            <w:tcBorders>
              <w:right w:val="single" w:sz="12" w:space="0" w:color="000000"/>
            </w:tcBorders>
            <w:shd w:val="clear" w:color="auto" w:fill="CCFFFF"/>
            <w:tcMar>
              <w:left w:w="40" w:type="dxa"/>
              <w:right w:w="40" w:type="dxa"/>
            </w:tcMar>
            <w:vAlign w:val="bottom"/>
          </w:tcPr>
          <w:p w:rsidR="00715143" w:rsidRDefault="00715143" w:rsidP="000F41B6">
            <w:pPr>
              <w:pStyle w:val="normal0"/>
              <w:spacing w:line="360" w:lineRule="auto"/>
              <w:jc w:val="both"/>
            </w:pPr>
          </w:p>
          <w:p w:rsidR="00715143" w:rsidRDefault="00715143" w:rsidP="000F41B6">
            <w:pPr>
              <w:pStyle w:val="normal0"/>
              <w:spacing w:line="360" w:lineRule="auto"/>
              <w:jc w:val="center"/>
            </w:pPr>
            <w:r w:rsidRPr="000F41B6">
              <w:rPr>
                <w:b/>
                <w:bCs/>
                <w:sz w:val="20"/>
                <w:szCs w:val="20"/>
                <w:shd w:val="clear" w:color="auto" w:fill="CCFFFF"/>
              </w:rPr>
              <w:t xml:space="preserve">de </w:t>
            </w:r>
            <w:r>
              <w:rPr>
                <w:b/>
                <w:bCs/>
                <w:sz w:val="20"/>
                <w:szCs w:val="20"/>
                <w:shd w:val="clear" w:color="auto" w:fill="CCFFFF"/>
              </w:rPr>
              <w:t>20</w:t>
            </w:r>
            <w:r w:rsidRPr="000F41B6">
              <w:rPr>
                <w:b/>
                <w:bCs/>
                <w:sz w:val="20"/>
                <w:szCs w:val="20"/>
                <w:shd w:val="clear" w:color="auto" w:fill="CCFFFF"/>
              </w:rPr>
              <w:t>/2/2017 até 09/03/2017</w:t>
            </w:r>
          </w:p>
          <w:p w:rsidR="00715143" w:rsidRDefault="00715143" w:rsidP="000F41B6">
            <w:pPr>
              <w:pStyle w:val="normal0"/>
              <w:spacing w:line="360" w:lineRule="auto"/>
              <w:jc w:val="center"/>
            </w:pPr>
          </w:p>
        </w:tc>
        <w:tc>
          <w:tcPr>
            <w:tcW w:w="3546" w:type="dxa"/>
            <w:vMerge w:val="restart"/>
            <w:tcBorders>
              <w:right w:val="single" w:sz="12" w:space="0" w:color="000000"/>
            </w:tcBorders>
            <w:shd w:val="clear" w:color="auto" w:fill="CCFFFF"/>
            <w:tcMar>
              <w:left w:w="40" w:type="dxa"/>
              <w:right w:w="40" w:type="dxa"/>
            </w:tcMar>
            <w:vAlign w:val="bottom"/>
          </w:tcPr>
          <w:p w:rsidR="00715143" w:rsidRDefault="00715143" w:rsidP="000F41B6">
            <w:pPr>
              <w:pStyle w:val="normal0"/>
              <w:spacing w:line="360" w:lineRule="auto"/>
              <w:jc w:val="center"/>
            </w:pPr>
            <w:r w:rsidRPr="000F41B6">
              <w:rPr>
                <w:b/>
                <w:bCs/>
                <w:sz w:val="20"/>
                <w:szCs w:val="20"/>
                <w:shd w:val="clear" w:color="auto" w:fill="CCFFFF"/>
              </w:rPr>
              <w:t>Site do Campus Porto Alegre</w:t>
            </w:r>
          </w:p>
          <w:p w:rsidR="00715143" w:rsidRDefault="00715143" w:rsidP="000F41B6">
            <w:pPr>
              <w:pStyle w:val="normal0"/>
              <w:spacing w:line="360" w:lineRule="auto"/>
              <w:jc w:val="center"/>
            </w:pPr>
            <w:r w:rsidRPr="000F41B6">
              <w:rPr>
                <w:b/>
                <w:bCs/>
                <w:sz w:val="20"/>
                <w:szCs w:val="20"/>
                <w:shd w:val="clear" w:color="auto" w:fill="CCFFFF"/>
              </w:rPr>
              <w:t>"Assistência Estudantil"</w:t>
            </w:r>
          </w:p>
          <w:p w:rsidR="00715143" w:rsidRDefault="00715143" w:rsidP="000F41B6">
            <w:pPr>
              <w:pStyle w:val="normal0"/>
              <w:spacing w:line="360" w:lineRule="auto"/>
              <w:jc w:val="center"/>
            </w:pPr>
            <w:r w:rsidRPr="000F41B6">
              <w:rPr>
                <w:b/>
                <w:bCs/>
                <w:sz w:val="20"/>
                <w:szCs w:val="20"/>
                <w:shd w:val="clear" w:color="auto" w:fill="CCFFFF"/>
              </w:rPr>
              <w:t>(Edital 2017)</w:t>
            </w:r>
          </w:p>
          <w:p w:rsidR="00715143" w:rsidRDefault="00715143" w:rsidP="000F41B6">
            <w:pPr>
              <w:pStyle w:val="normal0"/>
              <w:spacing w:line="360" w:lineRule="auto"/>
              <w:jc w:val="center"/>
            </w:pPr>
          </w:p>
        </w:tc>
      </w:tr>
      <w:tr w:rsidR="00715143">
        <w:trPr>
          <w:trHeight w:val="253"/>
        </w:trPr>
        <w:tc>
          <w:tcPr>
            <w:tcW w:w="1410" w:type="dxa"/>
            <w:vMerge/>
            <w:tcBorders>
              <w:left w:val="single" w:sz="12" w:space="0" w:color="000000"/>
              <w:right w:val="single" w:sz="12" w:space="0" w:color="000000"/>
            </w:tcBorders>
            <w:shd w:val="clear" w:color="auto" w:fill="99CCFF"/>
            <w:tcMar>
              <w:left w:w="40" w:type="dxa"/>
              <w:right w:w="40" w:type="dxa"/>
            </w:tcMar>
            <w:vAlign w:val="bottom"/>
          </w:tcPr>
          <w:p w:rsidR="00715143" w:rsidRDefault="00715143" w:rsidP="000F41B6">
            <w:pPr>
              <w:pStyle w:val="normal0"/>
              <w:spacing w:line="240" w:lineRule="auto"/>
              <w:jc w:val="center"/>
            </w:pPr>
          </w:p>
        </w:tc>
        <w:tc>
          <w:tcPr>
            <w:tcW w:w="1860" w:type="dxa"/>
            <w:vMerge/>
            <w:tcBorders>
              <w:right w:val="single" w:sz="12" w:space="0" w:color="000000"/>
            </w:tcBorders>
            <w:shd w:val="clear" w:color="auto" w:fill="CCFFFF"/>
            <w:tcMar>
              <w:left w:w="40" w:type="dxa"/>
              <w:right w:w="40" w:type="dxa"/>
            </w:tcMar>
            <w:vAlign w:val="bottom"/>
          </w:tcPr>
          <w:p w:rsidR="00715143" w:rsidRDefault="00715143" w:rsidP="000F41B6">
            <w:pPr>
              <w:pStyle w:val="normal0"/>
              <w:spacing w:line="240" w:lineRule="auto"/>
              <w:jc w:val="center"/>
            </w:pPr>
          </w:p>
        </w:tc>
        <w:tc>
          <w:tcPr>
            <w:tcW w:w="2199" w:type="dxa"/>
            <w:vMerge/>
            <w:tcBorders>
              <w:right w:val="single" w:sz="12" w:space="0" w:color="000000"/>
            </w:tcBorders>
            <w:shd w:val="clear" w:color="auto" w:fill="CCFFFF"/>
            <w:tcMar>
              <w:left w:w="40" w:type="dxa"/>
              <w:right w:w="40" w:type="dxa"/>
            </w:tcMar>
            <w:vAlign w:val="bottom"/>
          </w:tcPr>
          <w:p w:rsidR="00715143" w:rsidRDefault="00715143" w:rsidP="000F41B6">
            <w:pPr>
              <w:pStyle w:val="normal0"/>
              <w:spacing w:line="240" w:lineRule="auto"/>
              <w:jc w:val="center"/>
            </w:pPr>
          </w:p>
        </w:tc>
        <w:tc>
          <w:tcPr>
            <w:tcW w:w="3546" w:type="dxa"/>
            <w:vMerge/>
            <w:tcBorders>
              <w:right w:val="single" w:sz="12" w:space="0" w:color="000000"/>
            </w:tcBorders>
            <w:shd w:val="clear" w:color="auto" w:fill="CCFFFF"/>
            <w:tcMar>
              <w:left w:w="40" w:type="dxa"/>
              <w:right w:w="40" w:type="dxa"/>
            </w:tcMar>
            <w:vAlign w:val="bottom"/>
          </w:tcPr>
          <w:p w:rsidR="00715143" w:rsidRDefault="00715143" w:rsidP="000F41B6">
            <w:pPr>
              <w:pStyle w:val="normal0"/>
              <w:spacing w:line="240" w:lineRule="auto"/>
              <w:jc w:val="center"/>
            </w:pPr>
          </w:p>
        </w:tc>
      </w:tr>
      <w:tr w:rsidR="00715143">
        <w:trPr>
          <w:trHeight w:val="253"/>
        </w:trPr>
        <w:tc>
          <w:tcPr>
            <w:tcW w:w="1410" w:type="dxa"/>
            <w:vMerge/>
            <w:tcBorders>
              <w:left w:val="single" w:sz="12" w:space="0" w:color="000000"/>
              <w:right w:val="single" w:sz="12" w:space="0" w:color="000000"/>
            </w:tcBorders>
            <w:shd w:val="clear" w:color="auto" w:fill="99CCFF"/>
            <w:tcMar>
              <w:left w:w="40" w:type="dxa"/>
              <w:right w:w="40" w:type="dxa"/>
            </w:tcMar>
            <w:vAlign w:val="bottom"/>
          </w:tcPr>
          <w:p w:rsidR="00715143" w:rsidRDefault="00715143" w:rsidP="000F41B6">
            <w:pPr>
              <w:pStyle w:val="normal0"/>
              <w:spacing w:line="240" w:lineRule="auto"/>
              <w:jc w:val="center"/>
            </w:pPr>
          </w:p>
        </w:tc>
        <w:tc>
          <w:tcPr>
            <w:tcW w:w="1860" w:type="dxa"/>
            <w:vMerge/>
            <w:tcBorders>
              <w:bottom w:val="single" w:sz="12" w:space="0" w:color="000000"/>
              <w:right w:val="single" w:sz="12" w:space="0" w:color="000000"/>
            </w:tcBorders>
            <w:shd w:val="clear" w:color="auto" w:fill="CCFFFF"/>
            <w:tcMar>
              <w:left w:w="40" w:type="dxa"/>
              <w:right w:w="40" w:type="dxa"/>
            </w:tcMar>
            <w:vAlign w:val="bottom"/>
          </w:tcPr>
          <w:p w:rsidR="00715143" w:rsidRDefault="00715143" w:rsidP="000F41B6">
            <w:pPr>
              <w:pStyle w:val="normal0"/>
              <w:spacing w:line="240" w:lineRule="auto"/>
              <w:jc w:val="center"/>
            </w:pPr>
          </w:p>
        </w:tc>
        <w:tc>
          <w:tcPr>
            <w:tcW w:w="2199" w:type="dxa"/>
            <w:vMerge/>
            <w:tcBorders>
              <w:bottom w:val="single" w:sz="12" w:space="0" w:color="000000"/>
              <w:right w:val="single" w:sz="12" w:space="0" w:color="000000"/>
            </w:tcBorders>
            <w:shd w:val="clear" w:color="auto" w:fill="CCFFFF"/>
            <w:tcMar>
              <w:left w:w="40" w:type="dxa"/>
              <w:right w:w="40" w:type="dxa"/>
            </w:tcMar>
            <w:vAlign w:val="bottom"/>
          </w:tcPr>
          <w:p w:rsidR="00715143" w:rsidRDefault="00715143" w:rsidP="000F41B6">
            <w:pPr>
              <w:pStyle w:val="normal0"/>
              <w:spacing w:line="240" w:lineRule="auto"/>
              <w:jc w:val="both"/>
            </w:pPr>
          </w:p>
        </w:tc>
        <w:tc>
          <w:tcPr>
            <w:tcW w:w="3546" w:type="dxa"/>
            <w:vMerge/>
            <w:tcBorders>
              <w:bottom w:val="single" w:sz="12" w:space="0" w:color="000000"/>
              <w:right w:val="single" w:sz="12" w:space="0" w:color="000000"/>
            </w:tcBorders>
            <w:shd w:val="clear" w:color="auto" w:fill="CCFFFF"/>
            <w:tcMar>
              <w:left w:w="40" w:type="dxa"/>
              <w:right w:w="40" w:type="dxa"/>
            </w:tcMar>
            <w:vAlign w:val="bottom"/>
          </w:tcPr>
          <w:p w:rsidR="00715143" w:rsidRDefault="00715143" w:rsidP="000F41B6">
            <w:pPr>
              <w:pStyle w:val="normal0"/>
              <w:spacing w:line="240" w:lineRule="auto"/>
              <w:jc w:val="center"/>
            </w:pPr>
          </w:p>
        </w:tc>
      </w:tr>
      <w:tr w:rsidR="00715143">
        <w:trPr>
          <w:trHeight w:val="253"/>
        </w:trPr>
        <w:tc>
          <w:tcPr>
            <w:tcW w:w="1410" w:type="dxa"/>
            <w:vMerge/>
            <w:tcBorders>
              <w:left w:val="single" w:sz="12" w:space="0" w:color="000000"/>
              <w:right w:val="single" w:sz="12" w:space="0" w:color="000000"/>
            </w:tcBorders>
            <w:shd w:val="clear" w:color="auto" w:fill="99CCFF"/>
            <w:tcMar>
              <w:left w:w="40" w:type="dxa"/>
              <w:right w:w="40" w:type="dxa"/>
            </w:tcMar>
            <w:vAlign w:val="bottom"/>
          </w:tcPr>
          <w:p w:rsidR="00715143" w:rsidRDefault="00715143" w:rsidP="000F41B6">
            <w:pPr>
              <w:pStyle w:val="normal0"/>
              <w:spacing w:line="240" w:lineRule="auto"/>
              <w:jc w:val="both"/>
            </w:pPr>
          </w:p>
        </w:tc>
        <w:tc>
          <w:tcPr>
            <w:tcW w:w="1860" w:type="dxa"/>
            <w:vMerge w:val="restart"/>
            <w:tcBorders>
              <w:right w:val="single" w:sz="12" w:space="0" w:color="000000"/>
            </w:tcBorders>
            <w:shd w:val="clear" w:color="auto" w:fill="CCFFCC"/>
            <w:tcMar>
              <w:left w:w="40" w:type="dxa"/>
              <w:right w:w="40" w:type="dxa"/>
            </w:tcMar>
            <w:vAlign w:val="bottom"/>
          </w:tcPr>
          <w:p w:rsidR="00715143" w:rsidRDefault="00715143" w:rsidP="000F41B6">
            <w:pPr>
              <w:pStyle w:val="normal0"/>
              <w:spacing w:line="360" w:lineRule="auto"/>
              <w:jc w:val="center"/>
            </w:pPr>
          </w:p>
          <w:p w:rsidR="00715143" w:rsidRDefault="00715143" w:rsidP="000F41B6">
            <w:pPr>
              <w:pStyle w:val="normal0"/>
              <w:spacing w:line="360" w:lineRule="auto"/>
              <w:jc w:val="center"/>
            </w:pPr>
            <w:r w:rsidRPr="000F41B6">
              <w:rPr>
                <w:b/>
                <w:bCs/>
                <w:sz w:val="20"/>
                <w:szCs w:val="20"/>
                <w:shd w:val="clear" w:color="auto" w:fill="CCFFCC"/>
              </w:rPr>
              <w:t>Entrega da documentação</w:t>
            </w:r>
          </w:p>
          <w:p w:rsidR="00715143" w:rsidRDefault="00715143" w:rsidP="000F41B6">
            <w:pPr>
              <w:pStyle w:val="normal0"/>
              <w:spacing w:line="360" w:lineRule="auto"/>
              <w:jc w:val="center"/>
            </w:pPr>
            <w:r w:rsidRPr="000F41B6">
              <w:rPr>
                <w:b/>
                <w:bCs/>
                <w:sz w:val="20"/>
                <w:szCs w:val="20"/>
                <w:shd w:val="clear" w:color="auto" w:fill="CCFFCC"/>
              </w:rPr>
              <w:t>comprobatória</w:t>
            </w:r>
          </w:p>
          <w:p w:rsidR="00715143" w:rsidRDefault="00715143" w:rsidP="000F41B6">
            <w:pPr>
              <w:pStyle w:val="normal0"/>
              <w:spacing w:line="360" w:lineRule="auto"/>
              <w:jc w:val="center"/>
            </w:pPr>
          </w:p>
        </w:tc>
        <w:tc>
          <w:tcPr>
            <w:tcW w:w="2199" w:type="dxa"/>
            <w:vMerge w:val="restart"/>
            <w:tcBorders>
              <w:right w:val="single" w:sz="12" w:space="0" w:color="000000"/>
            </w:tcBorders>
            <w:shd w:val="clear" w:color="auto" w:fill="CCFFCC"/>
            <w:tcMar>
              <w:left w:w="40" w:type="dxa"/>
              <w:right w:w="40" w:type="dxa"/>
            </w:tcMar>
            <w:vAlign w:val="bottom"/>
          </w:tcPr>
          <w:p w:rsidR="00715143" w:rsidRDefault="00715143" w:rsidP="000F41B6">
            <w:pPr>
              <w:pStyle w:val="normal0"/>
              <w:spacing w:line="360" w:lineRule="auto"/>
              <w:jc w:val="center"/>
            </w:pPr>
            <w:r w:rsidRPr="000F41B6">
              <w:rPr>
                <w:b/>
                <w:bCs/>
                <w:sz w:val="20"/>
                <w:szCs w:val="20"/>
                <w:shd w:val="clear" w:color="auto" w:fill="CCFFCC"/>
              </w:rPr>
              <w:t xml:space="preserve">de </w:t>
            </w:r>
            <w:r>
              <w:rPr>
                <w:b/>
                <w:bCs/>
                <w:sz w:val="20"/>
                <w:szCs w:val="20"/>
                <w:shd w:val="clear" w:color="auto" w:fill="CCFFCC"/>
              </w:rPr>
              <w:t>20</w:t>
            </w:r>
            <w:r w:rsidRPr="000F41B6">
              <w:rPr>
                <w:b/>
                <w:bCs/>
                <w:sz w:val="20"/>
                <w:szCs w:val="20"/>
                <w:shd w:val="clear" w:color="auto" w:fill="CCFFCC"/>
              </w:rPr>
              <w:t>/02/2017 até</w:t>
            </w:r>
          </w:p>
          <w:p w:rsidR="00715143" w:rsidRDefault="00715143" w:rsidP="000F41B6">
            <w:pPr>
              <w:pStyle w:val="normal0"/>
              <w:spacing w:line="360" w:lineRule="auto"/>
              <w:jc w:val="center"/>
            </w:pPr>
            <w:r w:rsidRPr="000F41B6">
              <w:rPr>
                <w:b/>
                <w:bCs/>
                <w:sz w:val="20"/>
                <w:szCs w:val="20"/>
                <w:shd w:val="clear" w:color="auto" w:fill="CCFFCC"/>
              </w:rPr>
              <w:t>10/03/2017, no horário vigente de funcionamento do Protocolo.</w:t>
            </w:r>
          </w:p>
        </w:tc>
        <w:tc>
          <w:tcPr>
            <w:tcW w:w="3546" w:type="dxa"/>
            <w:vMerge w:val="restart"/>
            <w:tcBorders>
              <w:right w:val="single" w:sz="12" w:space="0" w:color="000000"/>
            </w:tcBorders>
            <w:shd w:val="clear" w:color="auto" w:fill="CCFFCC"/>
            <w:tcMar>
              <w:left w:w="40" w:type="dxa"/>
              <w:right w:w="40" w:type="dxa"/>
            </w:tcMar>
            <w:vAlign w:val="bottom"/>
          </w:tcPr>
          <w:p w:rsidR="00715143" w:rsidRDefault="00715143" w:rsidP="000F41B6">
            <w:pPr>
              <w:pStyle w:val="normal0"/>
              <w:spacing w:line="360" w:lineRule="auto"/>
              <w:jc w:val="center"/>
            </w:pPr>
            <w:r w:rsidRPr="000F41B6">
              <w:rPr>
                <w:b/>
                <w:bCs/>
                <w:sz w:val="20"/>
                <w:szCs w:val="20"/>
                <w:shd w:val="clear" w:color="auto" w:fill="CCFFCC"/>
              </w:rPr>
              <w:t>Protocolo do Campus Porto Alegre</w:t>
            </w:r>
          </w:p>
          <w:p w:rsidR="00715143" w:rsidRDefault="00715143" w:rsidP="000F41B6">
            <w:pPr>
              <w:pStyle w:val="normal0"/>
              <w:spacing w:line="360" w:lineRule="auto"/>
              <w:jc w:val="center"/>
            </w:pPr>
            <w:r w:rsidRPr="000F41B6">
              <w:rPr>
                <w:b/>
                <w:bCs/>
                <w:sz w:val="20"/>
                <w:szCs w:val="20"/>
                <w:shd w:val="clear" w:color="auto" w:fill="CCFFCC"/>
              </w:rPr>
              <w:t>Rua Coronel Vicente, 281, 5º andar</w:t>
            </w:r>
          </w:p>
          <w:p w:rsidR="00715143" w:rsidRDefault="00715143" w:rsidP="000F41B6">
            <w:pPr>
              <w:pStyle w:val="normal0"/>
              <w:spacing w:line="360" w:lineRule="auto"/>
              <w:jc w:val="center"/>
            </w:pPr>
          </w:p>
          <w:p w:rsidR="00715143" w:rsidRDefault="00715143" w:rsidP="000F41B6">
            <w:pPr>
              <w:pStyle w:val="normal0"/>
              <w:spacing w:line="360" w:lineRule="auto"/>
              <w:jc w:val="center"/>
            </w:pPr>
          </w:p>
        </w:tc>
      </w:tr>
      <w:tr w:rsidR="00715143">
        <w:trPr>
          <w:trHeight w:val="253"/>
        </w:trPr>
        <w:tc>
          <w:tcPr>
            <w:tcW w:w="1410" w:type="dxa"/>
            <w:vMerge/>
            <w:tcBorders>
              <w:left w:val="single" w:sz="12" w:space="0" w:color="000000"/>
              <w:bottom w:val="single" w:sz="12" w:space="0" w:color="000000"/>
              <w:right w:val="single" w:sz="12" w:space="0" w:color="000000"/>
            </w:tcBorders>
            <w:shd w:val="clear" w:color="auto" w:fill="99CCFF"/>
            <w:tcMar>
              <w:left w:w="40" w:type="dxa"/>
              <w:right w:w="40" w:type="dxa"/>
            </w:tcMar>
            <w:vAlign w:val="bottom"/>
          </w:tcPr>
          <w:p w:rsidR="00715143" w:rsidRDefault="00715143" w:rsidP="000F41B6">
            <w:pPr>
              <w:pStyle w:val="normal0"/>
              <w:spacing w:line="240" w:lineRule="auto"/>
              <w:jc w:val="both"/>
            </w:pPr>
          </w:p>
        </w:tc>
        <w:tc>
          <w:tcPr>
            <w:tcW w:w="1860" w:type="dxa"/>
            <w:vMerge/>
            <w:tcBorders>
              <w:bottom w:val="single" w:sz="12" w:space="0" w:color="000000"/>
              <w:right w:val="single" w:sz="12" w:space="0" w:color="000000"/>
            </w:tcBorders>
            <w:shd w:val="clear" w:color="auto" w:fill="CCFFCC"/>
            <w:tcMar>
              <w:left w:w="40" w:type="dxa"/>
              <w:right w:w="40" w:type="dxa"/>
            </w:tcMar>
            <w:vAlign w:val="bottom"/>
          </w:tcPr>
          <w:p w:rsidR="00715143" w:rsidRDefault="00715143" w:rsidP="000F41B6">
            <w:pPr>
              <w:pStyle w:val="normal0"/>
              <w:spacing w:line="240" w:lineRule="auto"/>
              <w:jc w:val="center"/>
            </w:pPr>
          </w:p>
        </w:tc>
        <w:tc>
          <w:tcPr>
            <w:tcW w:w="2199" w:type="dxa"/>
            <w:vMerge/>
            <w:tcBorders>
              <w:bottom w:val="single" w:sz="12" w:space="0" w:color="000000"/>
              <w:right w:val="single" w:sz="12" w:space="0" w:color="000000"/>
            </w:tcBorders>
            <w:shd w:val="clear" w:color="auto" w:fill="CCFFCC"/>
            <w:tcMar>
              <w:left w:w="40" w:type="dxa"/>
              <w:right w:w="40" w:type="dxa"/>
            </w:tcMar>
            <w:vAlign w:val="bottom"/>
          </w:tcPr>
          <w:p w:rsidR="00715143" w:rsidRDefault="00715143" w:rsidP="000F41B6">
            <w:pPr>
              <w:pStyle w:val="normal0"/>
              <w:spacing w:line="240" w:lineRule="auto"/>
              <w:jc w:val="center"/>
            </w:pPr>
          </w:p>
        </w:tc>
        <w:tc>
          <w:tcPr>
            <w:tcW w:w="3546" w:type="dxa"/>
            <w:vMerge/>
            <w:tcBorders>
              <w:bottom w:val="single" w:sz="12" w:space="0" w:color="000000"/>
              <w:right w:val="single" w:sz="12" w:space="0" w:color="000000"/>
            </w:tcBorders>
            <w:shd w:val="clear" w:color="auto" w:fill="CCFFCC"/>
            <w:tcMar>
              <w:left w:w="40" w:type="dxa"/>
              <w:right w:w="40" w:type="dxa"/>
            </w:tcMar>
            <w:vAlign w:val="bottom"/>
          </w:tcPr>
          <w:p w:rsidR="00715143" w:rsidRDefault="00715143" w:rsidP="000F41B6">
            <w:pPr>
              <w:pStyle w:val="normal0"/>
              <w:spacing w:line="240" w:lineRule="auto"/>
              <w:jc w:val="center"/>
            </w:pPr>
          </w:p>
        </w:tc>
      </w:tr>
      <w:tr w:rsidR="00715143">
        <w:trPr>
          <w:trHeight w:val="379"/>
        </w:trPr>
        <w:tc>
          <w:tcPr>
            <w:tcW w:w="3270" w:type="dxa"/>
            <w:gridSpan w:val="2"/>
            <w:vMerge w:val="restart"/>
            <w:tcBorders>
              <w:left w:val="single" w:sz="12" w:space="0" w:color="000000"/>
            </w:tcBorders>
            <w:shd w:val="clear" w:color="auto" w:fill="99CC00"/>
            <w:tcMar>
              <w:left w:w="40" w:type="dxa"/>
              <w:right w:w="40" w:type="dxa"/>
            </w:tcMar>
            <w:vAlign w:val="bottom"/>
          </w:tcPr>
          <w:p w:rsidR="00715143" w:rsidRDefault="00715143" w:rsidP="000F41B6">
            <w:pPr>
              <w:pStyle w:val="normal0"/>
              <w:spacing w:line="360" w:lineRule="auto"/>
              <w:jc w:val="both"/>
            </w:pPr>
          </w:p>
          <w:p w:rsidR="00715143" w:rsidRDefault="00715143" w:rsidP="000F41B6">
            <w:pPr>
              <w:pStyle w:val="normal0"/>
              <w:spacing w:line="360" w:lineRule="auto"/>
              <w:jc w:val="center"/>
            </w:pPr>
            <w:r w:rsidRPr="000F41B6">
              <w:rPr>
                <w:b/>
                <w:bCs/>
                <w:sz w:val="20"/>
                <w:szCs w:val="20"/>
                <w:shd w:val="clear" w:color="auto" w:fill="99CC00"/>
              </w:rPr>
              <w:t>DIVULGAÇÃO RESULTADO</w:t>
            </w:r>
          </w:p>
          <w:p w:rsidR="00715143" w:rsidRDefault="00715143" w:rsidP="000F41B6">
            <w:pPr>
              <w:pStyle w:val="normal0"/>
              <w:spacing w:line="360" w:lineRule="auto"/>
              <w:jc w:val="center"/>
            </w:pPr>
          </w:p>
          <w:p w:rsidR="00715143" w:rsidRDefault="00715143" w:rsidP="000F41B6">
            <w:pPr>
              <w:pStyle w:val="normal0"/>
              <w:spacing w:line="360" w:lineRule="auto"/>
              <w:jc w:val="center"/>
            </w:pPr>
          </w:p>
        </w:tc>
        <w:tc>
          <w:tcPr>
            <w:tcW w:w="2199" w:type="dxa"/>
            <w:vMerge w:val="restart"/>
            <w:tcBorders>
              <w:right w:val="single" w:sz="12" w:space="0" w:color="000000"/>
            </w:tcBorders>
            <w:shd w:val="clear" w:color="auto" w:fill="99CC00"/>
            <w:tcMar>
              <w:left w:w="40" w:type="dxa"/>
              <w:right w:w="40" w:type="dxa"/>
            </w:tcMar>
            <w:vAlign w:val="bottom"/>
          </w:tcPr>
          <w:p w:rsidR="00715143" w:rsidRDefault="00715143" w:rsidP="000F41B6">
            <w:pPr>
              <w:pStyle w:val="normal0"/>
              <w:spacing w:line="360" w:lineRule="auto"/>
              <w:jc w:val="both"/>
            </w:pPr>
          </w:p>
          <w:p w:rsidR="00715143" w:rsidRDefault="00715143" w:rsidP="000F41B6">
            <w:pPr>
              <w:pStyle w:val="normal0"/>
              <w:spacing w:line="360" w:lineRule="auto"/>
              <w:jc w:val="center"/>
            </w:pPr>
            <w:r w:rsidRPr="000F41B6">
              <w:rPr>
                <w:b/>
                <w:bCs/>
                <w:sz w:val="20"/>
                <w:szCs w:val="20"/>
                <w:shd w:val="clear" w:color="auto" w:fill="99CC00"/>
              </w:rPr>
              <w:t>Até 31/03/2017</w:t>
            </w:r>
          </w:p>
          <w:p w:rsidR="00715143" w:rsidRDefault="00715143" w:rsidP="000F41B6">
            <w:pPr>
              <w:pStyle w:val="normal0"/>
              <w:spacing w:line="360" w:lineRule="auto"/>
              <w:jc w:val="center"/>
            </w:pPr>
          </w:p>
          <w:p w:rsidR="00715143" w:rsidRDefault="00715143" w:rsidP="000F41B6">
            <w:pPr>
              <w:pStyle w:val="normal0"/>
              <w:spacing w:line="360" w:lineRule="auto"/>
              <w:jc w:val="center"/>
            </w:pPr>
          </w:p>
        </w:tc>
        <w:tc>
          <w:tcPr>
            <w:tcW w:w="3546" w:type="dxa"/>
            <w:vMerge w:val="restart"/>
            <w:tcBorders>
              <w:right w:val="single" w:sz="12" w:space="0" w:color="000000"/>
            </w:tcBorders>
            <w:shd w:val="clear" w:color="auto" w:fill="99CC00"/>
            <w:tcMar>
              <w:left w:w="40" w:type="dxa"/>
              <w:right w:w="40" w:type="dxa"/>
            </w:tcMar>
            <w:vAlign w:val="bottom"/>
          </w:tcPr>
          <w:p w:rsidR="00715143" w:rsidRDefault="00715143" w:rsidP="000F41B6">
            <w:pPr>
              <w:pStyle w:val="normal0"/>
              <w:spacing w:line="360" w:lineRule="auto"/>
              <w:jc w:val="both"/>
            </w:pPr>
          </w:p>
          <w:p w:rsidR="00715143" w:rsidRDefault="00715143" w:rsidP="000F41B6">
            <w:pPr>
              <w:pStyle w:val="normal0"/>
              <w:spacing w:line="360" w:lineRule="auto"/>
              <w:jc w:val="center"/>
            </w:pPr>
            <w:r w:rsidRPr="000F41B6">
              <w:rPr>
                <w:b/>
                <w:bCs/>
                <w:sz w:val="20"/>
                <w:szCs w:val="20"/>
                <w:shd w:val="clear" w:color="auto" w:fill="99CC00"/>
              </w:rPr>
              <w:t>Murais e Site do Campus Porto Alegre</w:t>
            </w:r>
          </w:p>
          <w:p w:rsidR="00715143" w:rsidRDefault="00715143" w:rsidP="000F41B6">
            <w:pPr>
              <w:pStyle w:val="normal0"/>
              <w:spacing w:line="360" w:lineRule="auto"/>
              <w:jc w:val="center"/>
            </w:pPr>
          </w:p>
        </w:tc>
      </w:tr>
      <w:tr w:rsidR="00715143">
        <w:trPr>
          <w:trHeight w:val="400"/>
        </w:trPr>
        <w:tc>
          <w:tcPr>
            <w:tcW w:w="3270" w:type="dxa"/>
            <w:gridSpan w:val="2"/>
            <w:vMerge/>
            <w:tcBorders>
              <w:left w:val="single" w:sz="12" w:space="0" w:color="000000"/>
              <w:right w:val="single" w:sz="12" w:space="0" w:color="000000"/>
            </w:tcBorders>
            <w:shd w:val="clear" w:color="auto" w:fill="99CC00"/>
            <w:tcMar>
              <w:left w:w="40" w:type="dxa"/>
              <w:right w:w="40" w:type="dxa"/>
            </w:tcMar>
            <w:vAlign w:val="bottom"/>
          </w:tcPr>
          <w:p w:rsidR="00715143" w:rsidRDefault="00715143" w:rsidP="000F41B6">
            <w:pPr>
              <w:pStyle w:val="normal0"/>
              <w:spacing w:line="240" w:lineRule="auto"/>
              <w:jc w:val="center"/>
            </w:pPr>
          </w:p>
        </w:tc>
        <w:tc>
          <w:tcPr>
            <w:tcW w:w="2199" w:type="dxa"/>
            <w:vMerge/>
            <w:tcBorders>
              <w:right w:val="single" w:sz="12" w:space="0" w:color="000000"/>
            </w:tcBorders>
            <w:shd w:val="clear" w:color="auto" w:fill="99CC00"/>
            <w:tcMar>
              <w:left w:w="40" w:type="dxa"/>
              <w:right w:w="40" w:type="dxa"/>
            </w:tcMar>
            <w:vAlign w:val="bottom"/>
          </w:tcPr>
          <w:p w:rsidR="00715143" w:rsidRDefault="00715143" w:rsidP="000F41B6">
            <w:pPr>
              <w:pStyle w:val="normal0"/>
              <w:spacing w:line="240" w:lineRule="auto"/>
              <w:jc w:val="center"/>
            </w:pPr>
          </w:p>
        </w:tc>
        <w:tc>
          <w:tcPr>
            <w:tcW w:w="3546" w:type="dxa"/>
            <w:vMerge/>
            <w:tcBorders>
              <w:right w:val="single" w:sz="12" w:space="0" w:color="000000"/>
            </w:tcBorders>
            <w:shd w:val="clear" w:color="auto" w:fill="99CC00"/>
            <w:tcMar>
              <w:left w:w="40" w:type="dxa"/>
              <w:right w:w="40" w:type="dxa"/>
            </w:tcMar>
            <w:vAlign w:val="bottom"/>
          </w:tcPr>
          <w:p w:rsidR="00715143" w:rsidRDefault="00715143" w:rsidP="000F41B6">
            <w:pPr>
              <w:pStyle w:val="normal0"/>
              <w:spacing w:line="240" w:lineRule="auto"/>
              <w:jc w:val="center"/>
            </w:pPr>
          </w:p>
        </w:tc>
      </w:tr>
      <w:tr w:rsidR="00715143">
        <w:trPr>
          <w:trHeight w:val="253"/>
        </w:trPr>
        <w:tc>
          <w:tcPr>
            <w:tcW w:w="3270" w:type="dxa"/>
            <w:gridSpan w:val="2"/>
            <w:vMerge/>
            <w:tcBorders>
              <w:left w:val="single" w:sz="12" w:space="0" w:color="000000"/>
              <w:bottom w:val="single" w:sz="12" w:space="0" w:color="000000"/>
            </w:tcBorders>
            <w:shd w:val="clear" w:color="auto" w:fill="99CC00"/>
            <w:tcMar>
              <w:left w:w="40" w:type="dxa"/>
              <w:right w:w="40" w:type="dxa"/>
            </w:tcMar>
            <w:vAlign w:val="bottom"/>
          </w:tcPr>
          <w:p w:rsidR="00715143" w:rsidRDefault="00715143" w:rsidP="000F41B6">
            <w:pPr>
              <w:pStyle w:val="normal0"/>
              <w:spacing w:line="240" w:lineRule="auto"/>
              <w:jc w:val="both"/>
            </w:pPr>
          </w:p>
        </w:tc>
        <w:tc>
          <w:tcPr>
            <w:tcW w:w="2199" w:type="dxa"/>
            <w:vMerge/>
            <w:tcBorders>
              <w:bottom w:val="single" w:sz="12" w:space="0" w:color="000000"/>
              <w:right w:val="single" w:sz="12" w:space="0" w:color="000000"/>
            </w:tcBorders>
            <w:shd w:val="clear" w:color="auto" w:fill="99CC00"/>
            <w:tcMar>
              <w:left w:w="40" w:type="dxa"/>
              <w:right w:w="40" w:type="dxa"/>
            </w:tcMar>
            <w:vAlign w:val="bottom"/>
          </w:tcPr>
          <w:p w:rsidR="00715143" w:rsidRDefault="00715143" w:rsidP="000F41B6">
            <w:pPr>
              <w:pStyle w:val="normal0"/>
              <w:spacing w:line="240" w:lineRule="auto"/>
              <w:jc w:val="both"/>
            </w:pPr>
          </w:p>
        </w:tc>
        <w:tc>
          <w:tcPr>
            <w:tcW w:w="3546" w:type="dxa"/>
            <w:vMerge/>
            <w:tcBorders>
              <w:bottom w:val="single" w:sz="12" w:space="0" w:color="000000"/>
              <w:right w:val="single" w:sz="12" w:space="0" w:color="000000"/>
            </w:tcBorders>
            <w:shd w:val="clear" w:color="auto" w:fill="99CC00"/>
            <w:tcMar>
              <w:left w:w="40" w:type="dxa"/>
              <w:right w:w="40" w:type="dxa"/>
            </w:tcMar>
            <w:vAlign w:val="bottom"/>
          </w:tcPr>
          <w:p w:rsidR="00715143" w:rsidRDefault="00715143" w:rsidP="000F41B6">
            <w:pPr>
              <w:pStyle w:val="normal0"/>
              <w:spacing w:line="240" w:lineRule="auto"/>
              <w:jc w:val="both"/>
            </w:pPr>
          </w:p>
        </w:tc>
      </w:tr>
      <w:tr w:rsidR="00715143">
        <w:trPr>
          <w:trHeight w:val="379"/>
        </w:trPr>
        <w:tc>
          <w:tcPr>
            <w:tcW w:w="3270" w:type="dxa"/>
            <w:gridSpan w:val="2"/>
            <w:vMerge w:val="restart"/>
            <w:tcBorders>
              <w:left w:val="single" w:sz="12" w:space="0" w:color="000000"/>
            </w:tcBorders>
            <w:shd w:val="clear" w:color="auto" w:fill="C0C0C0"/>
            <w:tcMar>
              <w:left w:w="40" w:type="dxa"/>
              <w:right w:w="40" w:type="dxa"/>
            </w:tcMar>
            <w:vAlign w:val="bottom"/>
          </w:tcPr>
          <w:p w:rsidR="00715143" w:rsidRDefault="00715143" w:rsidP="000F41B6">
            <w:pPr>
              <w:pStyle w:val="normal0"/>
              <w:spacing w:line="360" w:lineRule="auto"/>
              <w:jc w:val="both"/>
            </w:pPr>
          </w:p>
          <w:p w:rsidR="00715143" w:rsidRDefault="00715143" w:rsidP="000F41B6">
            <w:pPr>
              <w:pStyle w:val="normal0"/>
              <w:spacing w:line="360" w:lineRule="auto"/>
              <w:jc w:val="center"/>
            </w:pPr>
            <w:r w:rsidRPr="000F41B6">
              <w:rPr>
                <w:b/>
                <w:bCs/>
                <w:sz w:val="20"/>
                <w:szCs w:val="20"/>
                <w:highlight w:val="lightGray"/>
              </w:rPr>
              <w:t>RECURSOS</w:t>
            </w:r>
          </w:p>
          <w:p w:rsidR="00715143" w:rsidRDefault="00715143" w:rsidP="000F41B6">
            <w:pPr>
              <w:pStyle w:val="normal0"/>
              <w:spacing w:line="360" w:lineRule="auto"/>
              <w:jc w:val="center"/>
            </w:pPr>
          </w:p>
          <w:p w:rsidR="00715143" w:rsidRDefault="00715143" w:rsidP="000F41B6">
            <w:pPr>
              <w:pStyle w:val="normal0"/>
              <w:spacing w:line="360" w:lineRule="auto"/>
              <w:jc w:val="center"/>
            </w:pPr>
          </w:p>
        </w:tc>
        <w:tc>
          <w:tcPr>
            <w:tcW w:w="2199" w:type="dxa"/>
            <w:vMerge w:val="restart"/>
            <w:tcBorders>
              <w:right w:val="single" w:sz="12" w:space="0" w:color="000000"/>
            </w:tcBorders>
            <w:shd w:val="clear" w:color="auto" w:fill="C0C0C0"/>
            <w:tcMar>
              <w:left w:w="40" w:type="dxa"/>
              <w:right w:w="40" w:type="dxa"/>
            </w:tcMar>
            <w:vAlign w:val="bottom"/>
          </w:tcPr>
          <w:p w:rsidR="00715143" w:rsidRDefault="00715143" w:rsidP="000F41B6">
            <w:pPr>
              <w:pStyle w:val="normal0"/>
              <w:spacing w:line="360" w:lineRule="auto"/>
              <w:jc w:val="both"/>
            </w:pPr>
          </w:p>
          <w:p w:rsidR="00715143" w:rsidRDefault="00715143" w:rsidP="000F41B6">
            <w:pPr>
              <w:pStyle w:val="normal0"/>
              <w:spacing w:line="360" w:lineRule="auto"/>
              <w:jc w:val="center"/>
            </w:pPr>
            <w:r w:rsidRPr="000F41B6">
              <w:rPr>
                <w:b/>
                <w:bCs/>
                <w:sz w:val="20"/>
                <w:szCs w:val="20"/>
                <w:highlight w:val="lightGray"/>
              </w:rPr>
              <w:t>Até 48h após</w:t>
            </w:r>
          </w:p>
          <w:p w:rsidR="00715143" w:rsidRDefault="00715143" w:rsidP="000F41B6">
            <w:pPr>
              <w:pStyle w:val="normal0"/>
              <w:spacing w:line="360" w:lineRule="auto"/>
              <w:jc w:val="center"/>
            </w:pPr>
            <w:r w:rsidRPr="000F41B6">
              <w:rPr>
                <w:b/>
                <w:bCs/>
                <w:sz w:val="20"/>
                <w:szCs w:val="20"/>
                <w:highlight w:val="lightGray"/>
              </w:rPr>
              <w:t>divulgação do resultado</w:t>
            </w:r>
          </w:p>
          <w:p w:rsidR="00715143" w:rsidRDefault="00715143" w:rsidP="000F41B6">
            <w:pPr>
              <w:pStyle w:val="normal0"/>
              <w:spacing w:line="360" w:lineRule="auto"/>
              <w:jc w:val="center"/>
            </w:pPr>
          </w:p>
        </w:tc>
        <w:tc>
          <w:tcPr>
            <w:tcW w:w="3546" w:type="dxa"/>
            <w:vMerge w:val="restart"/>
            <w:tcBorders>
              <w:right w:val="single" w:sz="12" w:space="0" w:color="000000"/>
            </w:tcBorders>
            <w:shd w:val="clear" w:color="auto" w:fill="C0C0C0"/>
            <w:tcMar>
              <w:left w:w="40" w:type="dxa"/>
              <w:right w:w="40" w:type="dxa"/>
            </w:tcMar>
            <w:vAlign w:val="bottom"/>
          </w:tcPr>
          <w:p w:rsidR="00715143" w:rsidRDefault="00715143" w:rsidP="000F41B6">
            <w:pPr>
              <w:pStyle w:val="normal0"/>
              <w:spacing w:line="360" w:lineRule="auto"/>
              <w:jc w:val="center"/>
            </w:pPr>
            <w:r w:rsidRPr="000F41B6">
              <w:rPr>
                <w:b/>
                <w:bCs/>
                <w:sz w:val="20"/>
                <w:szCs w:val="20"/>
                <w:highlight w:val="lightGray"/>
              </w:rPr>
              <w:t>Núcleo de Acompanhamento</w:t>
            </w:r>
          </w:p>
          <w:p w:rsidR="00715143" w:rsidRDefault="00715143" w:rsidP="000F41B6">
            <w:pPr>
              <w:pStyle w:val="normal0"/>
              <w:spacing w:line="360" w:lineRule="auto"/>
              <w:jc w:val="center"/>
            </w:pPr>
            <w:r w:rsidRPr="000F41B6">
              <w:rPr>
                <w:b/>
                <w:bCs/>
                <w:sz w:val="20"/>
                <w:szCs w:val="20"/>
                <w:highlight w:val="lightGray"/>
              </w:rPr>
              <w:t>Acadêmico (NAAc) - Rua Coronel Vicente, 281</w:t>
            </w:r>
          </w:p>
          <w:p w:rsidR="00715143" w:rsidRDefault="00715143" w:rsidP="000F41B6">
            <w:pPr>
              <w:pStyle w:val="normal0"/>
              <w:spacing w:line="360" w:lineRule="auto"/>
              <w:jc w:val="center"/>
            </w:pPr>
            <w:r w:rsidRPr="000F41B6">
              <w:rPr>
                <w:b/>
                <w:bCs/>
                <w:sz w:val="20"/>
                <w:szCs w:val="20"/>
                <w:highlight w:val="lightGray"/>
              </w:rPr>
              <w:t>5º andar, salas 516 e 517</w:t>
            </w:r>
          </w:p>
        </w:tc>
      </w:tr>
      <w:tr w:rsidR="00715143">
        <w:trPr>
          <w:trHeight w:val="400"/>
        </w:trPr>
        <w:tc>
          <w:tcPr>
            <w:tcW w:w="3270" w:type="dxa"/>
            <w:gridSpan w:val="2"/>
            <w:vMerge/>
            <w:tcBorders>
              <w:left w:val="single" w:sz="12" w:space="0" w:color="000000"/>
              <w:right w:val="single" w:sz="12" w:space="0" w:color="000000"/>
            </w:tcBorders>
            <w:shd w:val="clear" w:color="auto" w:fill="C0C0C0"/>
            <w:tcMar>
              <w:left w:w="40" w:type="dxa"/>
              <w:right w:w="40" w:type="dxa"/>
            </w:tcMar>
            <w:vAlign w:val="bottom"/>
          </w:tcPr>
          <w:p w:rsidR="00715143" w:rsidRDefault="00715143" w:rsidP="000F41B6">
            <w:pPr>
              <w:pStyle w:val="normal0"/>
              <w:spacing w:line="240" w:lineRule="auto"/>
              <w:jc w:val="center"/>
            </w:pPr>
          </w:p>
        </w:tc>
        <w:tc>
          <w:tcPr>
            <w:tcW w:w="2199" w:type="dxa"/>
            <w:vMerge/>
            <w:tcBorders>
              <w:right w:val="single" w:sz="12" w:space="0" w:color="000000"/>
            </w:tcBorders>
            <w:shd w:val="clear" w:color="auto" w:fill="C0C0C0"/>
            <w:tcMar>
              <w:left w:w="40" w:type="dxa"/>
              <w:right w:w="40" w:type="dxa"/>
            </w:tcMar>
            <w:vAlign w:val="bottom"/>
          </w:tcPr>
          <w:p w:rsidR="00715143" w:rsidRDefault="00715143" w:rsidP="000F41B6">
            <w:pPr>
              <w:pStyle w:val="normal0"/>
              <w:spacing w:line="240" w:lineRule="auto"/>
              <w:jc w:val="center"/>
            </w:pPr>
          </w:p>
        </w:tc>
        <w:tc>
          <w:tcPr>
            <w:tcW w:w="3546" w:type="dxa"/>
            <w:vMerge/>
            <w:tcBorders>
              <w:right w:val="single" w:sz="12" w:space="0" w:color="000000"/>
            </w:tcBorders>
            <w:shd w:val="clear" w:color="auto" w:fill="C0C0C0"/>
            <w:tcMar>
              <w:left w:w="40" w:type="dxa"/>
              <w:right w:w="40" w:type="dxa"/>
            </w:tcMar>
            <w:vAlign w:val="bottom"/>
          </w:tcPr>
          <w:p w:rsidR="00715143" w:rsidRDefault="00715143" w:rsidP="000F41B6">
            <w:pPr>
              <w:pStyle w:val="normal0"/>
              <w:spacing w:line="240" w:lineRule="auto"/>
              <w:jc w:val="center"/>
            </w:pPr>
          </w:p>
        </w:tc>
      </w:tr>
      <w:tr w:rsidR="00715143">
        <w:trPr>
          <w:trHeight w:val="253"/>
        </w:trPr>
        <w:tc>
          <w:tcPr>
            <w:tcW w:w="3270" w:type="dxa"/>
            <w:gridSpan w:val="2"/>
            <w:vMerge/>
            <w:tcBorders>
              <w:left w:val="single" w:sz="12" w:space="0" w:color="000000"/>
              <w:bottom w:val="single" w:sz="12" w:space="0" w:color="000000"/>
            </w:tcBorders>
            <w:shd w:val="clear" w:color="auto" w:fill="C0C0C0"/>
            <w:tcMar>
              <w:left w:w="40" w:type="dxa"/>
              <w:right w:w="40" w:type="dxa"/>
            </w:tcMar>
            <w:vAlign w:val="bottom"/>
          </w:tcPr>
          <w:p w:rsidR="00715143" w:rsidRDefault="00715143" w:rsidP="000F41B6">
            <w:pPr>
              <w:pStyle w:val="normal0"/>
              <w:spacing w:line="240" w:lineRule="auto"/>
              <w:jc w:val="both"/>
            </w:pPr>
          </w:p>
        </w:tc>
        <w:tc>
          <w:tcPr>
            <w:tcW w:w="2199" w:type="dxa"/>
            <w:vMerge/>
            <w:tcBorders>
              <w:bottom w:val="single" w:sz="12" w:space="0" w:color="000000"/>
              <w:right w:val="single" w:sz="12" w:space="0" w:color="000000"/>
            </w:tcBorders>
            <w:shd w:val="clear" w:color="auto" w:fill="C0C0C0"/>
            <w:tcMar>
              <w:left w:w="40" w:type="dxa"/>
              <w:right w:w="40" w:type="dxa"/>
            </w:tcMar>
            <w:vAlign w:val="bottom"/>
          </w:tcPr>
          <w:p w:rsidR="00715143" w:rsidRDefault="00715143" w:rsidP="000F41B6">
            <w:pPr>
              <w:pStyle w:val="normal0"/>
              <w:spacing w:line="240" w:lineRule="auto"/>
              <w:jc w:val="center"/>
            </w:pPr>
          </w:p>
        </w:tc>
        <w:tc>
          <w:tcPr>
            <w:tcW w:w="3546" w:type="dxa"/>
            <w:vMerge/>
            <w:tcBorders>
              <w:bottom w:val="single" w:sz="12" w:space="0" w:color="000000"/>
              <w:right w:val="single" w:sz="12" w:space="0" w:color="000000"/>
            </w:tcBorders>
            <w:shd w:val="clear" w:color="auto" w:fill="C0C0C0"/>
            <w:tcMar>
              <w:left w:w="40" w:type="dxa"/>
              <w:right w:w="40" w:type="dxa"/>
            </w:tcMar>
            <w:vAlign w:val="bottom"/>
          </w:tcPr>
          <w:p w:rsidR="00715143" w:rsidRDefault="00715143" w:rsidP="000F41B6">
            <w:pPr>
              <w:pStyle w:val="normal0"/>
              <w:spacing w:line="240" w:lineRule="auto"/>
              <w:jc w:val="center"/>
            </w:pPr>
          </w:p>
        </w:tc>
      </w:tr>
      <w:tr w:rsidR="00715143">
        <w:trPr>
          <w:trHeight w:val="400"/>
        </w:trPr>
        <w:tc>
          <w:tcPr>
            <w:tcW w:w="3270" w:type="dxa"/>
            <w:gridSpan w:val="2"/>
            <w:vMerge w:val="restart"/>
            <w:tcBorders>
              <w:left w:val="single" w:sz="12" w:space="0" w:color="000000"/>
              <w:right w:val="single" w:sz="12" w:space="0" w:color="000000"/>
            </w:tcBorders>
            <w:shd w:val="clear" w:color="auto" w:fill="FFCC99"/>
            <w:tcMar>
              <w:left w:w="40" w:type="dxa"/>
              <w:right w:w="40" w:type="dxa"/>
            </w:tcMar>
            <w:vAlign w:val="bottom"/>
          </w:tcPr>
          <w:p w:rsidR="00715143" w:rsidRDefault="00715143" w:rsidP="000F41B6">
            <w:pPr>
              <w:pStyle w:val="normal0"/>
              <w:spacing w:line="360" w:lineRule="auto"/>
              <w:jc w:val="center"/>
            </w:pPr>
            <w:r w:rsidRPr="000F41B6">
              <w:rPr>
                <w:b/>
                <w:bCs/>
                <w:sz w:val="20"/>
                <w:szCs w:val="20"/>
                <w:shd w:val="clear" w:color="auto" w:fill="FFCC99"/>
              </w:rPr>
              <w:t>DIVULGAÇÃO RESULTADO</w:t>
            </w:r>
          </w:p>
          <w:p w:rsidR="00715143" w:rsidRDefault="00715143" w:rsidP="000F41B6">
            <w:pPr>
              <w:pStyle w:val="normal0"/>
              <w:spacing w:line="360" w:lineRule="auto"/>
              <w:jc w:val="center"/>
            </w:pPr>
            <w:r w:rsidRPr="000F41B6">
              <w:rPr>
                <w:b/>
                <w:bCs/>
                <w:sz w:val="20"/>
                <w:szCs w:val="20"/>
                <w:shd w:val="clear" w:color="auto" w:fill="FFCC99"/>
              </w:rPr>
              <w:t>FINAL</w:t>
            </w:r>
          </w:p>
        </w:tc>
        <w:tc>
          <w:tcPr>
            <w:tcW w:w="2199" w:type="dxa"/>
            <w:vMerge w:val="restart"/>
            <w:tcBorders>
              <w:right w:val="single" w:sz="12" w:space="0" w:color="000000"/>
            </w:tcBorders>
            <w:shd w:val="clear" w:color="auto" w:fill="FFCC99"/>
            <w:tcMar>
              <w:left w:w="40" w:type="dxa"/>
              <w:right w:w="40" w:type="dxa"/>
            </w:tcMar>
            <w:vAlign w:val="bottom"/>
          </w:tcPr>
          <w:p w:rsidR="00715143" w:rsidRDefault="00715143" w:rsidP="000F41B6">
            <w:pPr>
              <w:pStyle w:val="normal0"/>
              <w:spacing w:line="360" w:lineRule="auto"/>
              <w:jc w:val="center"/>
            </w:pPr>
            <w:r w:rsidRPr="000F41B6">
              <w:rPr>
                <w:b/>
                <w:bCs/>
                <w:sz w:val="20"/>
                <w:szCs w:val="20"/>
                <w:shd w:val="clear" w:color="auto" w:fill="FFCC99"/>
              </w:rPr>
              <w:t>01 dia útil após</w:t>
            </w:r>
          </w:p>
          <w:p w:rsidR="00715143" w:rsidRDefault="00715143" w:rsidP="000F41B6">
            <w:pPr>
              <w:pStyle w:val="normal0"/>
              <w:spacing w:line="360" w:lineRule="auto"/>
              <w:jc w:val="center"/>
            </w:pPr>
            <w:r w:rsidRPr="000F41B6">
              <w:rPr>
                <w:b/>
                <w:bCs/>
                <w:sz w:val="20"/>
                <w:szCs w:val="20"/>
                <w:shd w:val="clear" w:color="auto" w:fill="FFCC99"/>
              </w:rPr>
              <w:t>prazo final dos recursos</w:t>
            </w:r>
          </w:p>
        </w:tc>
        <w:tc>
          <w:tcPr>
            <w:tcW w:w="3546" w:type="dxa"/>
            <w:vMerge w:val="restart"/>
            <w:tcBorders>
              <w:right w:val="single" w:sz="12" w:space="0" w:color="000000"/>
            </w:tcBorders>
            <w:shd w:val="clear" w:color="auto" w:fill="FFCC99"/>
            <w:tcMar>
              <w:left w:w="40" w:type="dxa"/>
              <w:right w:w="40" w:type="dxa"/>
            </w:tcMar>
            <w:vAlign w:val="bottom"/>
          </w:tcPr>
          <w:p w:rsidR="00715143" w:rsidRDefault="00715143" w:rsidP="000F41B6">
            <w:pPr>
              <w:pStyle w:val="normal0"/>
              <w:spacing w:line="360" w:lineRule="auto"/>
              <w:jc w:val="both"/>
            </w:pPr>
          </w:p>
          <w:p w:rsidR="00715143" w:rsidRDefault="00715143" w:rsidP="000F41B6">
            <w:pPr>
              <w:pStyle w:val="normal0"/>
              <w:spacing w:line="360" w:lineRule="auto"/>
              <w:jc w:val="center"/>
            </w:pPr>
            <w:r w:rsidRPr="000F41B6">
              <w:rPr>
                <w:b/>
                <w:bCs/>
                <w:sz w:val="20"/>
                <w:szCs w:val="20"/>
                <w:shd w:val="clear" w:color="auto" w:fill="FFCC99"/>
              </w:rPr>
              <w:t>Murais e Site do Campus Porto Alegre</w:t>
            </w:r>
          </w:p>
        </w:tc>
      </w:tr>
      <w:tr w:rsidR="00715143">
        <w:trPr>
          <w:trHeight w:val="400"/>
        </w:trPr>
        <w:tc>
          <w:tcPr>
            <w:tcW w:w="3270" w:type="dxa"/>
            <w:gridSpan w:val="2"/>
            <w:vMerge/>
            <w:tcBorders>
              <w:left w:val="single" w:sz="12" w:space="0" w:color="000000"/>
              <w:bottom w:val="single" w:sz="12" w:space="0" w:color="000000"/>
              <w:right w:val="single" w:sz="12" w:space="0" w:color="000000"/>
            </w:tcBorders>
            <w:shd w:val="clear" w:color="auto" w:fill="FFCC99"/>
            <w:tcMar>
              <w:left w:w="40" w:type="dxa"/>
              <w:right w:w="40" w:type="dxa"/>
            </w:tcMar>
            <w:vAlign w:val="bottom"/>
          </w:tcPr>
          <w:p w:rsidR="00715143" w:rsidRDefault="00715143" w:rsidP="000F41B6">
            <w:pPr>
              <w:pStyle w:val="normal0"/>
              <w:spacing w:line="240" w:lineRule="auto"/>
              <w:jc w:val="center"/>
            </w:pPr>
          </w:p>
        </w:tc>
        <w:tc>
          <w:tcPr>
            <w:tcW w:w="2199" w:type="dxa"/>
            <w:vMerge/>
            <w:tcBorders>
              <w:bottom w:val="single" w:sz="12" w:space="0" w:color="000000"/>
              <w:right w:val="single" w:sz="12" w:space="0" w:color="000000"/>
            </w:tcBorders>
            <w:shd w:val="clear" w:color="auto" w:fill="FFCC99"/>
            <w:tcMar>
              <w:left w:w="40" w:type="dxa"/>
              <w:right w:w="40" w:type="dxa"/>
            </w:tcMar>
            <w:vAlign w:val="bottom"/>
          </w:tcPr>
          <w:p w:rsidR="00715143" w:rsidRDefault="00715143" w:rsidP="000F41B6">
            <w:pPr>
              <w:pStyle w:val="normal0"/>
              <w:spacing w:line="240" w:lineRule="auto"/>
              <w:jc w:val="center"/>
            </w:pPr>
          </w:p>
        </w:tc>
        <w:tc>
          <w:tcPr>
            <w:tcW w:w="3546" w:type="dxa"/>
            <w:vMerge/>
            <w:tcBorders>
              <w:bottom w:val="single" w:sz="12" w:space="0" w:color="000000"/>
              <w:right w:val="single" w:sz="12" w:space="0" w:color="000000"/>
            </w:tcBorders>
            <w:shd w:val="clear" w:color="auto" w:fill="FFCC99"/>
            <w:tcMar>
              <w:left w:w="40" w:type="dxa"/>
              <w:right w:w="40" w:type="dxa"/>
            </w:tcMar>
            <w:vAlign w:val="bottom"/>
          </w:tcPr>
          <w:p w:rsidR="00715143" w:rsidRDefault="00715143" w:rsidP="000F41B6">
            <w:pPr>
              <w:pStyle w:val="normal0"/>
              <w:spacing w:line="240" w:lineRule="auto"/>
              <w:jc w:val="center"/>
            </w:pPr>
          </w:p>
        </w:tc>
      </w:tr>
    </w:tbl>
    <w:p w:rsidR="00715143" w:rsidRDefault="00715143">
      <w:pPr>
        <w:pStyle w:val="normal0"/>
        <w:spacing w:line="360" w:lineRule="auto"/>
        <w:jc w:val="both"/>
      </w:pPr>
      <w:r>
        <w:rPr>
          <w:b/>
          <w:bCs/>
          <w:sz w:val="24"/>
          <w:szCs w:val="24"/>
        </w:rPr>
        <w:t xml:space="preserve"> </w:t>
      </w:r>
    </w:p>
    <w:p w:rsidR="00715143" w:rsidRDefault="00715143">
      <w:pPr>
        <w:pStyle w:val="normal0"/>
        <w:spacing w:line="360" w:lineRule="auto"/>
        <w:jc w:val="both"/>
      </w:pPr>
    </w:p>
    <w:p w:rsidR="00715143" w:rsidRDefault="00715143">
      <w:pPr>
        <w:pStyle w:val="normal0"/>
        <w:spacing w:line="360" w:lineRule="auto"/>
        <w:jc w:val="both"/>
      </w:pPr>
      <w:r>
        <w:rPr>
          <w:b/>
          <w:bCs/>
          <w:sz w:val="24"/>
          <w:szCs w:val="24"/>
        </w:rPr>
        <w:t>12. OBSERVAÇÕES FINAIS</w:t>
      </w:r>
    </w:p>
    <w:p w:rsidR="00715143" w:rsidRDefault="00715143">
      <w:pPr>
        <w:pStyle w:val="normal0"/>
        <w:spacing w:line="360" w:lineRule="auto"/>
        <w:jc w:val="both"/>
      </w:pPr>
      <w:r>
        <w:rPr>
          <w:sz w:val="24"/>
          <w:szCs w:val="24"/>
        </w:rPr>
        <w:t>12.1 Ao inscrever-se para o Programa de Assistência Estudantil do Campus Porto Alegre, o estudante declara ter lido, compreendido e aceito as condições contidas neste Edital e as demais normas estabelecidas pelo NAAc, através da assinatura do Termo de Compromisso;</w:t>
      </w:r>
    </w:p>
    <w:p w:rsidR="00715143" w:rsidRDefault="00715143">
      <w:pPr>
        <w:pStyle w:val="normal0"/>
        <w:spacing w:line="360" w:lineRule="auto"/>
        <w:jc w:val="both"/>
      </w:pPr>
      <w:r>
        <w:rPr>
          <w:sz w:val="24"/>
          <w:szCs w:val="24"/>
        </w:rPr>
        <w:t xml:space="preserve">12.2 A análise socioeconômica é válida por dois anos, contados do deferimento da mesma. Após esse período o estudante deverá realizar nova inscrição para  o Programa de Assistência Estudantil, cumprindo as etapas e regras previstas no edital vigente. </w:t>
      </w:r>
    </w:p>
    <w:p w:rsidR="00715143" w:rsidRDefault="00715143">
      <w:pPr>
        <w:pStyle w:val="normal0"/>
        <w:spacing w:line="360" w:lineRule="auto"/>
        <w:jc w:val="both"/>
      </w:pPr>
      <w:r>
        <w:rPr>
          <w:sz w:val="24"/>
          <w:szCs w:val="24"/>
        </w:rPr>
        <w:t>12.3 O cumprimento dos prazos estabelecidos para acesso e/ou renovação de auxílios, bem como acompanhamento da divulgação dos resultados, é de inteira responsabilidade do estudante solicitante. O NAAc não se obriga a remeter lembretes, mensagens, e-mails, etc. de cunho individual sobre prazos e procedimentos vinculados a este edital;</w:t>
      </w:r>
    </w:p>
    <w:p w:rsidR="00715143" w:rsidRDefault="00715143">
      <w:pPr>
        <w:pStyle w:val="normal0"/>
        <w:spacing w:line="360" w:lineRule="auto"/>
        <w:jc w:val="both"/>
      </w:pPr>
      <w:r>
        <w:rPr>
          <w:sz w:val="24"/>
          <w:szCs w:val="24"/>
        </w:rPr>
        <w:t>12.4 A concessão dos auxílios dar-se-á mediante avaliação da situação de vulnerabilidade socioeconômica e disponibilidade orçamentário-financeira do IFRS – Campus Porto Alegre;</w:t>
      </w:r>
    </w:p>
    <w:p w:rsidR="00715143" w:rsidRDefault="00715143">
      <w:pPr>
        <w:pStyle w:val="normal0"/>
        <w:spacing w:line="360" w:lineRule="auto"/>
        <w:jc w:val="both"/>
      </w:pPr>
      <w:r>
        <w:rPr>
          <w:sz w:val="24"/>
          <w:szCs w:val="24"/>
        </w:rPr>
        <w:t>12.5 Os estudantes que solicitarem o(s) auxílio(s) têm garantia de total sigilo das documentações e informações prestadas ao NAAc;</w:t>
      </w:r>
    </w:p>
    <w:p w:rsidR="00715143" w:rsidRDefault="00715143">
      <w:pPr>
        <w:pStyle w:val="normal0"/>
        <w:spacing w:line="360" w:lineRule="auto"/>
        <w:jc w:val="both"/>
      </w:pPr>
      <w:r>
        <w:rPr>
          <w:sz w:val="24"/>
          <w:szCs w:val="24"/>
        </w:rPr>
        <w:t>12.6 Considerar-se-á grupo familiar (para a entrega de documentação) o conjunto de pessoas que vivem em uma mesma moradia e/ou que vivem com a mesma renda bruta mensal familiar;</w:t>
      </w:r>
    </w:p>
    <w:p w:rsidR="00715143" w:rsidRDefault="00715143">
      <w:pPr>
        <w:pStyle w:val="normal0"/>
        <w:spacing w:line="360" w:lineRule="auto"/>
        <w:jc w:val="both"/>
      </w:pPr>
      <w:r>
        <w:rPr>
          <w:sz w:val="24"/>
          <w:szCs w:val="24"/>
        </w:rPr>
        <w:t>12.7 Os casos omissos e as situações não previstas neste edital serão avaliados pelo NAAc, sendo respeitadas a legislação referente à Assistência Estudantil e as normas do IFRS – Campus Porto Alegre;</w:t>
      </w:r>
    </w:p>
    <w:p w:rsidR="00715143" w:rsidRDefault="00715143">
      <w:pPr>
        <w:pStyle w:val="normal0"/>
        <w:spacing w:line="360" w:lineRule="auto"/>
        <w:jc w:val="both"/>
      </w:pPr>
      <w:r>
        <w:rPr>
          <w:sz w:val="24"/>
          <w:szCs w:val="24"/>
        </w:rPr>
        <w:t>12.8 Maiores informações podem ser obtidas no Núcleo de Acompanhamento Acadêmico (NAAc) e pelo telefone (51)3930-6024.</w:t>
      </w:r>
    </w:p>
    <w:p w:rsidR="00715143" w:rsidRDefault="00715143">
      <w:pPr>
        <w:pStyle w:val="normal0"/>
        <w:spacing w:line="360" w:lineRule="auto"/>
        <w:jc w:val="both"/>
      </w:pPr>
    </w:p>
    <w:p w:rsidR="00715143" w:rsidRDefault="00715143">
      <w:pPr>
        <w:pStyle w:val="normal0"/>
        <w:spacing w:line="360" w:lineRule="auto"/>
        <w:jc w:val="both"/>
      </w:pPr>
    </w:p>
    <w:p w:rsidR="00715143" w:rsidRDefault="00715143">
      <w:pPr>
        <w:pStyle w:val="normal0"/>
        <w:spacing w:line="360" w:lineRule="auto"/>
        <w:jc w:val="both"/>
      </w:pPr>
    </w:p>
    <w:p w:rsidR="00715143" w:rsidRDefault="00715143">
      <w:pPr>
        <w:pStyle w:val="normal0"/>
        <w:spacing w:line="360" w:lineRule="auto"/>
        <w:jc w:val="both"/>
      </w:pPr>
    </w:p>
    <w:p w:rsidR="00715143" w:rsidRDefault="00715143" w:rsidP="009E6225">
      <w:pPr>
        <w:pStyle w:val="normal0"/>
        <w:spacing w:line="240" w:lineRule="auto"/>
        <w:jc w:val="center"/>
      </w:pPr>
      <w:r>
        <w:rPr>
          <w:sz w:val="24"/>
          <w:szCs w:val="24"/>
        </w:rPr>
        <w:t>MARCELO AUGUSTO RAUH SCHMITT</w:t>
      </w:r>
    </w:p>
    <w:p w:rsidR="00715143" w:rsidRDefault="00715143" w:rsidP="009E6225">
      <w:pPr>
        <w:pStyle w:val="normal0"/>
        <w:spacing w:line="240" w:lineRule="auto"/>
        <w:jc w:val="center"/>
      </w:pPr>
      <w:r>
        <w:rPr>
          <w:sz w:val="24"/>
          <w:szCs w:val="24"/>
        </w:rPr>
        <w:t>Diretor Geral</w:t>
      </w:r>
    </w:p>
    <w:p w:rsidR="00715143" w:rsidRDefault="00715143" w:rsidP="009E6225">
      <w:pPr>
        <w:pStyle w:val="normal0"/>
        <w:spacing w:line="240" w:lineRule="auto"/>
        <w:jc w:val="center"/>
        <w:rPr>
          <w:sz w:val="24"/>
          <w:szCs w:val="24"/>
        </w:rPr>
      </w:pPr>
      <w:r>
        <w:rPr>
          <w:sz w:val="24"/>
          <w:szCs w:val="24"/>
        </w:rPr>
        <w:t>IFRS – Campus Porto Alegre</w:t>
      </w:r>
    </w:p>
    <w:p w:rsidR="00715143" w:rsidRDefault="00715143" w:rsidP="009E6225">
      <w:pPr>
        <w:pStyle w:val="normal0"/>
        <w:spacing w:line="240" w:lineRule="auto"/>
        <w:jc w:val="center"/>
      </w:pPr>
      <w:r>
        <w:rPr>
          <w:sz w:val="24"/>
          <w:szCs w:val="24"/>
        </w:rPr>
        <w:t>Portaria 316/2016</w:t>
      </w:r>
    </w:p>
    <w:sectPr w:rsidR="00715143" w:rsidSect="00DE67A2">
      <w:headerReference w:type="default" r:id="rId6"/>
      <w:footerReference w:type="default" r:id="rId7"/>
      <w:pgSz w:w="11909" w:h="16834"/>
      <w:pgMar w:top="1417" w:right="1440" w:bottom="1417"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143" w:rsidRDefault="00715143" w:rsidP="009D0B30">
      <w:pPr>
        <w:spacing w:line="240" w:lineRule="auto"/>
      </w:pPr>
      <w:r>
        <w:separator/>
      </w:r>
    </w:p>
  </w:endnote>
  <w:endnote w:type="continuationSeparator" w:id="0">
    <w:p w:rsidR="00715143" w:rsidRDefault="00715143" w:rsidP="009D0B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43" w:rsidRPr="00901A5B" w:rsidRDefault="00715143" w:rsidP="009E6225">
    <w:pPr>
      <w:pStyle w:val="Footer"/>
      <w:jc w:val="center"/>
      <w:rPr>
        <w:sz w:val="16"/>
        <w:szCs w:val="16"/>
      </w:rPr>
    </w:pPr>
    <w:r w:rsidRPr="00901A5B">
      <w:rPr>
        <w:sz w:val="16"/>
        <w:szCs w:val="16"/>
      </w:rPr>
      <w:t xml:space="preserve">Instituto Federal de Educação, Ciência e Tecnologia – </w:t>
    </w:r>
    <w:r>
      <w:rPr>
        <w:sz w:val="16"/>
        <w:szCs w:val="16"/>
      </w:rPr>
      <w:t>Campus</w:t>
    </w:r>
    <w:r w:rsidRPr="00901A5B">
      <w:rPr>
        <w:sz w:val="16"/>
        <w:szCs w:val="16"/>
      </w:rPr>
      <w:t xml:space="preserve"> Porto Alegre</w:t>
    </w:r>
  </w:p>
  <w:p w:rsidR="00715143" w:rsidRPr="00901A5B" w:rsidRDefault="00715143" w:rsidP="009E6225">
    <w:pPr>
      <w:pStyle w:val="Footer"/>
      <w:jc w:val="center"/>
      <w:rPr>
        <w:sz w:val="16"/>
        <w:szCs w:val="16"/>
      </w:rPr>
    </w:pPr>
    <w:r>
      <w:rPr>
        <w:sz w:val="16"/>
        <w:szCs w:val="16"/>
      </w:rPr>
      <w:t>Rua Cel. Vicente, 281</w:t>
    </w:r>
    <w:r w:rsidRPr="00901A5B">
      <w:rPr>
        <w:sz w:val="16"/>
        <w:szCs w:val="16"/>
      </w:rPr>
      <w:t xml:space="preserve"> – </w:t>
    </w:r>
    <w:r>
      <w:rPr>
        <w:sz w:val="16"/>
        <w:szCs w:val="16"/>
      </w:rPr>
      <w:t>Centro</w:t>
    </w:r>
    <w:r w:rsidRPr="00901A5B">
      <w:rPr>
        <w:sz w:val="16"/>
        <w:szCs w:val="16"/>
      </w:rPr>
      <w:t xml:space="preserve"> – Porto Alegre/RS</w:t>
    </w:r>
  </w:p>
  <w:p w:rsidR="00715143" w:rsidRDefault="00715143" w:rsidP="009E6225">
    <w:pPr>
      <w:pStyle w:val="Footer"/>
      <w:jc w:val="center"/>
      <w:rPr>
        <w:sz w:val="16"/>
        <w:szCs w:val="16"/>
      </w:rPr>
    </w:pPr>
    <w:r w:rsidRPr="006C66D0">
      <w:rPr>
        <w:sz w:val="16"/>
        <w:szCs w:val="16"/>
        <w:lang w:val="en-US"/>
      </w:rPr>
      <w:t xml:space="preserve">CEP 90030-040 – </w:t>
    </w:r>
    <w:hyperlink r:id="rId1" w:history="1">
      <w:r w:rsidRPr="006C66D0">
        <w:rPr>
          <w:rStyle w:val="Hyperlink"/>
          <w:sz w:val="16"/>
          <w:szCs w:val="16"/>
          <w:lang w:val="en-US"/>
        </w:rPr>
        <w:t>www.poa.ifrs.edu.br</w:t>
      </w:r>
    </w:hyperlink>
  </w:p>
  <w:p w:rsidR="00715143" w:rsidRDefault="00715143" w:rsidP="009E6225">
    <w:pPr>
      <w:pStyle w:val="Footer"/>
      <w:jc w:val="center"/>
    </w:pPr>
    <w:r w:rsidRPr="009E6225">
      <w:rPr>
        <w:sz w:val="16"/>
        <w:szCs w:val="16"/>
      </w:rPr>
      <w:t xml:space="preserve">Página </w:t>
    </w:r>
    <w:r w:rsidRPr="009E6225">
      <w:rPr>
        <w:sz w:val="16"/>
        <w:szCs w:val="16"/>
      </w:rPr>
      <w:fldChar w:fldCharType="begin"/>
    </w:r>
    <w:r w:rsidRPr="009E6225">
      <w:rPr>
        <w:sz w:val="16"/>
        <w:szCs w:val="16"/>
      </w:rPr>
      <w:instrText xml:space="preserve"> PAGE </w:instrText>
    </w:r>
    <w:r w:rsidRPr="009E6225">
      <w:rPr>
        <w:sz w:val="16"/>
        <w:szCs w:val="16"/>
      </w:rPr>
      <w:fldChar w:fldCharType="separate"/>
    </w:r>
    <w:r>
      <w:rPr>
        <w:noProof/>
        <w:sz w:val="16"/>
        <w:szCs w:val="16"/>
      </w:rPr>
      <w:t>9</w:t>
    </w:r>
    <w:r w:rsidRPr="009E6225">
      <w:rPr>
        <w:sz w:val="16"/>
        <w:szCs w:val="16"/>
      </w:rPr>
      <w:fldChar w:fldCharType="end"/>
    </w:r>
    <w:r w:rsidRPr="009E6225">
      <w:rPr>
        <w:sz w:val="16"/>
        <w:szCs w:val="16"/>
      </w:rPr>
      <w:t xml:space="preserve"> de </w:t>
    </w:r>
    <w:r w:rsidRPr="009E6225">
      <w:rPr>
        <w:sz w:val="16"/>
        <w:szCs w:val="16"/>
      </w:rPr>
      <w:fldChar w:fldCharType="begin"/>
    </w:r>
    <w:r w:rsidRPr="009E6225">
      <w:rPr>
        <w:sz w:val="16"/>
        <w:szCs w:val="16"/>
      </w:rPr>
      <w:instrText xml:space="preserve"> NUMPAGES </w:instrText>
    </w:r>
    <w:r w:rsidRPr="009E6225">
      <w:rPr>
        <w:sz w:val="16"/>
        <w:szCs w:val="16"/>
      </w:rPr>
      <w:fldChar w:fldCharType="separate"/>
    </w:r>
    <w:r>
      <w:rPr>
        <w:noProof/>
        <w:sz w:val="16"/>
        <w:szCs w:val="16"/>
      </w:rPr>
      <w:t>9</w:t>
    </w:r>
    <w:r w:rsidRPr="009E6225">
      <w:rPr>
        <w:sz w:val="16"/>
        <w:szCs w:val="16"/>
      </w:rPr>
      <w:fldChar w:fldCharType="end"/>
    </w:r>
    <w:r>
      <w:rPr>
        <w:sz w:val="16"/>
        <w:szCs w:val="16"/>
      </w:rPr>
      <w:t xml:space="preserve"> – Edital nº 079/2016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143" w:rsidRDefault="00715143" w:rsidP="009D0B30">
      <w:pPr>
        <w:spacing w:line="240" w:lineRule="auto"/>
      </w:pPr>
      <w:r>
        <w:separator/>
      </w:r>
    </w:p>
  </w:footnote>
  <w:footnote w:type="continuationSeparator" w:id="0">
    <w:p w:rsidR="00715143" w:rsidRDefault="00715143" w:rsidP="009D0B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143" w:rsidRPr="00CF32A1" w:rsidRDefault="00715143" w:rsidP="009E6225">
    <w:pPr>
      <w:autoSpaceDE w:val="0"/>
      <w:autoSpaceDN w:val="0"/>
      <w:adjustRightInd w:val="0"/>
      <w:jc w:val="center"/>
    </w:pPr>
    <w:r w:rsidRPr="00EA067E">
      <w:rPr>
        <w:noProof/>
        <w:color w:val="1F1A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alt="republica-federativa-do-brasil[1]" style="width:59.25pt;height:63.75pt;visibility:visible">
          <v:imagedata r:id="rId1" o:title=""/>
        </v:shape>
      </w:pict>
    </w:r>
  </w:p>
  <w:p w:rsidR="00715143" w:rsidRPr="009E6225" w:rsidRDefault="00715143" w:rsidP="009E6225">
    <w:pPr>
      <w:autoSpaceDE w:val="0"/>
      <w:autoSpaceDN w:val="0"/>
      <w:adjustRightInd w:val="0"/>
      <w:spacing w:line="240" w:lineRule="auto"/>
      <w:jc w:val="center"/>
      <w:rPr>
        <w:sz w:val="20"/>
        <w:szCs w:val="20"/>
      </w:rPr>
    </w:pPr>
    <w:r w:rsidRPr="009E6225">
      <w:rPr>
        <w:sz w:val="20"/>
        <w:szCs w:val="20"/>
      </w:rPr>
      <w:t>Ministério da Educação</w:t>
    </w:r>
  </w:p>
  <w:p w:rsidR="00715143" w:rsidRPr="009E6225" w:rsidRDefault="00715143" w:rsidP="009E6225">
    <w:pPr>
      <w:autoSpaceDE w:val="0"/>
      <w:autoSpaceDN w:val="0"/>
      <w:adjustRightInd w:val="0"/>
      <w:spacing w:line="240" w:lineRule="auto"/>
      <w:jc w:val="center"/>
      <w:rPr>
        <w:sz w:val="20"/>
        <w:szCs w:val="20"/>
      </w:rPr>
    </w:pPr>
    <w:r w:rsidRPr="009E6225">
      <w:rPr>
        <w:sz w:val="20"/>
        <w:szCs w:val="20"/>
      </w:rPr>
      <w:t>Secretaria de Educação Profissional e Tecnológica</w:t>
    </w:r>
  </w:p>
  <w:p w:rsidR="00715143" w:rsidRPr="009E6225" w:rsidRDefault="00715143" w:rsidP="009E6225">
    <w:pPr>
      <w:autoSpaceDE w:val="0"/>
      <w:autoSpaceDN w:val="0"/>
      <w:adjustRightInd w:val="0"/>
      <w:spacing w:line="240" w:lineRule="auto"/>
      <w:jc w:val="center"/>
      <w:rPr>
        <w:sz w:val="20"/>
        <w:szCs w:val="20"/>
      </w:rPr>
    </w:pPr>
    <w:r w:rsidRPr="009E6225">
      <w:rPr>
        <w:sz w:val="20"/>
        <w:szCs w:val="20"/>
      </w:rPr>
      <w:t>Instituto Federal de Educação, Ciência e Tecnologia do Rio Grande do Sul</w:t>
    </w:r>
  </w:p>
  <w:p w:rsidR="00715143" w:rsidRDefault="00715143" w:rsidP="009E6225">
    <w:pPr>
      <w:autoSpaceDE w:val="0"/>
      <w:autoSpaceDN w:val="0"/>
      <w:adjustRightInd w:val="0"/>
      <w:spacing w:line="240" w:lineRule="auto"/>
      <w:jc w:val="center"/>
      <w:rPr>
        <w:sz w:val="20"/>
        <w:szCs w:val="20"/>
      </w:rPr>
    </w:pPr>
    <w:r w:rsidRPr="009E6225">
      <w:rPr>
        <w:sz w:val="20"/>
        <w:szCs w:val="20"/>
      </w:rPr>
      <w:t>Campus do IFRS Campus Porto Alegre</w:t>
    </w:r>
  </w:p>
  <w:p w:rsidR="00715143" w:rsidRDefault="00715143" w:rsidP="009E6225">
    <w:pPr>
      <w:autoSpaceDE w:val="0"/>
      <w:autoSpaceDN w:val="0"/>
      <w:adjustRightInd w:val="0"/>
      <w:spacing w:line="240" w:lineRule="aut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7A2"/>
    <w:rsid w:val="000F41B6"/>
    <w:rsid w:val="00203660"/>
    <w:rsid w:val="002E4E57"/>
    <w:rsid w:val="005A5714"/>
    <w:rsid w:val="006C66D0"/>
    <w:rsid w:val="006D31BF"/>
    <w:rsid w:val="00715143"/>
    <w:rsid w:val="00843E50"/>
    <w:rsid w:val="008C2FF7"/>
    <w:rsid w:val="00901A5B"/>
    <w:rsid w:val="00921EF8"/>
    <w:rsid w:val="009318DC"/>
    <w:rsid w:val="009D0B30"/>
    <w:rsid w:val="009E6225"/>
    <w:rsid w:val="00A04873"/>
    <w:rsid w:val="00A51DCE"/>
    <w:rsid w:val="00A85DB2"/>
    <w:rsid w:val="00AB30AD"/>
    <w:rsid w:val="00B519FC"/>
    <w:rsid w:val="00B842DC"/>
    <w:rsid w:val="00C92193"/>
    <w:rsid w:val="00CF32A1"/>
    <w:rsid w:val="00DE67A2"/>
    <w:rsid w:val="00E77234"/>
    <w:rsid w:val="00EA067E"/>
    <w:rsid w:val="00F566A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DC"/>
    <w:pPr>
      <w:spacing w:line="276" w:lineRule="auto"/>
    </w:pPr>
    <w:rPr>
      <w:color w:val="000000"/>
    </w:rPr>
  </w:style>
  <w:style w:type="paragraph" w:styleId="Heading1">
    <w:name w:val="heading 1"/>
    <w:basedOn w:val="normal0"/>
    <w:next w:val="normal0"/>
    <w:link w:val="Heading1Char"/>
    <w:uiPriority w:val="99"/>
    <w:qFormat/>
    <w:rsid w:val="00DE67A2"/>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DE67A2"/>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DE67A2"/>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DE67A2"/>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DE67A2"/>
    <w:pPr>
      <w:keepNext/>
      <w:keepLines/>
      <w:spacing w:before="240" w:after="80"/>
      <w:outlineLvl w:val="4"/>
    </w:pPr>
    <w:rPr>
      <w:color w:val="666666"/>
    </w:rPr>
  </w:style>
  <w:style w:type="paragraph" w:styleId="Heading6">
    <w:name w:val="heading 6"/>
    <w:basedOn w:val="normal0"/>
    <w:next w:val="normal0"/>
    <w:link w:val="Heading6Char"/>
    <w:uiPriority w:val="99"/>
    <w:qFormat/>
    <w:rsid w:val="00DE67A2"/>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067E"/>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rsid w:val="00EA067E"/>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rsid w:val="00EA067E"/>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rsid w:val="00EA067E"/>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rsid w:val="00EA067E"/>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rsid w:val="00EA067E"/>
    <w:rPr>
      <w:rFonts w:ascii="Calibri" w:hAnsi="Calibri" w:cs="Calibri"/>
      <w:b/>
      <w:bCs/>
      <w:color w:val="000000"/>
    </w:rPr>
  </w:style>
  <w:style w:type="paragraph" w:customStyle="1" w:styleId="normal0">
    <w:name w:val="normal"/>
    <w:uiPriority w:val="99"/>
    <w:rsid w:val="00DE67A2"/>
    <w:pPr>
      <w:spacing w:line="276" w:lineRule="auto"/>
    </w:pPr>
    <w:rPr>
      <w:color w:val="000000"/>
    </w:rPr>
  </w:style>
  <w:style w:type="paragraph" w:styleId="Title">
    <w:name w:val="Title"/>
    <w:basedOn w:val="normal0"/>
    <w:next w:val="normal0"/>
    <w:link w:val="TitleChar"/>
    <w:uiPriority w:val="99"/>
    <w:qFormat/>
    <w:rsid w:val="00DE67A2"/>
    <w:pPr>
      <w:keepNext/>
      <w:keepLines/>
      <w:spacing w:after="60"/>
    </w:pPr>
    <w:rPr>
      <w:sz w:val="52"/>
      <w:szCs w:val="52"/>
    </w:rPr>
  </w:style>
  <w:style w:type="character" w:customStyle="1" w:styleId="TitleChar">
    <w:name w:val="Title Char"/>
    <w:basedOn w:val="DefaultParagraphFont"/>
    <w:link w:val="Title"/>
    <w:uiPriority w:val="99"/>
    <w:rsid w:val="00EA067E"/>
    <w:rPr>
      <w:rFonts w:ascii="Cambria" w:hAnsi="Cambria" w:cs="Cambria"/>
      <w:b/>
      <w:bCs/>
      <w:color w:val="000000"/>
      <w:kern w:val="28"/>
      <w:sz w:val="32"/>
      <w:szCs w:val="32"/>
    </w:rPr>
  </w:style>
  <w:style w:type="paragraph" w:styleId="Subtitle">
    <w:name w:val="Subtitle"/>
    <w:basedOn w:val="normal0"/>
    <w:next w:val="normal0"/>
    <w:link w:val="SubtitleChar"/>
    <w:uiPriority w:val="99"/>
    <w:qFormat/>
    <w:rsid w:val="00DE67A2"/>
    <w:pPr>
      <w:keepNext/>
      <w:keepLines/>
      <w:spacing w:after="320"/>
    </w:pPr>
    <w:rPr>
      <w:color w:val="666666"/>
      <w:sz w:val="30"/>
      <w:szCs w:val="30"/>
    </w:rPr>
  </w:style>
  <w:style w:type="character" w:customStyle="1" w:styleId="SubtitleChar">
    <w:name w:val="Subtitle Char"/>
    <w:basedOn w:val="DefaultParagraphFont"/>
    <w:link w:val="Subtitle"/>
    <w:uiPriority w:val="99"/>
    <w:rsid w:val="00EA067E"/>
    <w:rPr>
      <w:rFonts w:ascii="Cambria" w:hAnsi="Cambria" w:cs="Cambria"/>
      <w:color w:val="000000"/>
      <w:sz w:val="24"/>
      <w:szCs w:val="24"/>
    </w:rPr>
  </w:style>
  <w:style w:type="table" w:customStyle="1" w:styleId="Estilo">
    <w:name w:val="Estilo"/>
    <w:uiPriority w:val="99"/>
    <w:rsid w:val="00DE67A2"/>
    <w:rPr>
      <w:sz w:val="20"/>
      <w:szCs w:val="20"/>
    </w:rPr>
    <w:tblPr>
      <w:tblStyleRowBandSize w:val="1"/>
      <w:tblStyleColBandSize w:val="1"/>
      <w:tblCellMar>
        <w:top w:w="0" w:type="dxa"/>
        <w:left w:w="108" w:type="dxa"/>
        <w:bottom w:w="0" w:type="dxa"/>
        <w:right w:w="108" w:type="dxa"/>
      </w:tblCellMar>
    </w:tblPr>
  </w:style>
  <w:style w:type="table" w:customStyle="1" w:styleId="Estilo1">
    <w:name w:val="Estilo1"/>
    <w:uiPriority w:val="99"/>
    <w:rsid w:val="00DE67A2"/>
    <w:rPr>
      <w:sz w:val="20"/>
      <w:szCs w:val="20"/>
    </w:rPr>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rsid w:val="009E6225"/>
    <w:pPr>
      <w:tabs>
        <w:tab w:val="center" w:pos="4419"/>
        <w:tab w:val="right" w:pos="8838"/>
      </w:tabs>
    </w:pPr>
  </w:style>
  <w:style w:type="character" w:customStyle="1" w:styleId="HeaderChar">
    <w:name w:val="Header Char"/>
    <w:basedOn w:val="DefaultParagraphFont"/>
    <w:link w:val="Header"/>
    <w:uiPriority w:val="99"/>
    <w:semiHidden/>
    <w:rsid w:val="00EA067E"/>
    <w:rPr>
      <w:color w:val="000000"/>
    </w:rPr>
  </w:style>
  <w:style w:type="paragraph" w:styleId="Footer">
    <w:name w:val="footer"/>
    <w:basedOn w:val="Normal"/>
    <w:link w:val="FooterChar"/>
    <w:uiPriority w:val="99"/>
    <w:rsid w:val="009E6225"/>
    <w:pPr>
      <w:tabs>
        <w:tab w:val="center" w:pos="4419"/>
        <w:tab w:val="right" w:pos="8838"/>
      </w:tabs>
    </w:pPr>
  </w:style>
  <w:style w:type="character" w:customStyle="1" w:styleId="FooterChar">
    <w:name w:val="Footer Char"/>
    <w:basedOn w:val="DefaultParagraphFont"/>
    <w:link w:val="Footer"/>
    <w:uiPriority w:val="99"/>
    <w:semiHidden/>
    <w:rsid w:val="009E6225"/>
    <w:rPr>
      <w:rFonts w:ascii="Arial" w:hAnsi="Arial" w:cs="Arial"/>
      <w:color w:val="000000"/>
      <w:sz w:val="22"/>
      <w:szCs w:val="22"/>
      <w:lang w:val="pt-BR" w:eastAsia="pt-BR"/>
    </w:rPr>
  </w:style>
  <w:style w:type="character" w:styleId="Hyperlink">
    <w:name w:val="Hyperlink"/>
    <w:basedOn w:val="DefaultParagraphFont"/>
    <w:uiPriority w:val="99"/>
    <w:rsid w:val="009E6225"/>
    <w:rPr>
      <w:color w:val="0000FF"/>
      <w:u w:val="single"/>
    </w:rPr>
  </w:style>
  <w:style w:type="paragraph" w:styleId="BalloonText">
    <w:name w:val="Balloon Text"/>
    <w:basedOn w:val="Normal"/>
    <w:link w:val="BalloonTextChar"/>
    <w:uiPriority w:val="99"/>
    <w:semiHidden/>
    <w:rsid w:val="009E62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225"/>
    <w:rPr>
      <w:rFonts w:ascii="Tahoma" w:hAnsi="Tahoma" w:cs="Tahoma"/>
      <w:color w:val="000000"/>
      <w:sz w:val="16"/>
      <w:szCs w:val="16"/>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oa.ifrs.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2053</Words>
  <Characters>11090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Nº 079, DE 23 DE DEZEMBRO DE 2016</dc:title>
  <dc:subject/>
  <dc:creator>avellar</dc:creator>
  <cp:keywords/>
  <dc:description/>
  <cp:lastModifiedBy>avellar</cp:lastModifiedBy>
  <cp:revision>5</cp:revision>
  <cp:lastPrinted>2016-12-23T14:16:00Z</cp:lastPrinted>
  <dcterms:created xsi:type="dcterms:W3CDTF">2017-02-07T13:43:00Z</dcterms:created>
  <dcterms:modified xsi:type="dcterms:W3CDTF">2017-02-07T13:51:00Z</dcterms:modified>
</cp:coreProperties>
</file>